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147F" w14:textId="77777777" w:rsidR="00650AC1" w:rsidRPr="00F40937" w:rsidRDefault="00650AC1" w:rsidP="00650AC1">
      <w:pPr>
        <w:jc w:val="center"/>
        <w:rPr>
          <w:rFonts w:asciiTheme="minorHAnsi" w:hAnsiTheme="minorHAnsi" w:cs="Tahoma"/>
          <w:b/>
          <w:sz w:val="24"/>
          <w:szCs w:val="24"/>
        </w:rPr>
      </w:pPr>
      <w:r w:rsidRPr="00F40937">
        <w:rPr>
          <w:rFonts w:asciiTheme="minorHAnsi" w:hAnsiTheme="minorHAnsi" w:cs="Tahoma"/>
          <w:b/>
          <w:sz w:val="24"/>
          <w:szCs w:val="24"/>
        </w:rPr>
        <w:t>İŞ FİNANSAL KİRALAMA A.Ş.</w:t>
      </w:r>
    </w:p>
    <w:p w14:paraId="30924C45" w14:textId="19A2A761" w:rsidR="00650AC1" w:rsidRPr="00F40937" w:rsidRDefault="00650AC1" w:rsidP="00650AC1">
      <w:pPr>
        <w:jc w:val="center"/>
        <w:rPr>
          <w:rFonts w:asciiTheme="minorHAnsi" w:hAnsiTheme="minorHAnsi" w:cs="Tahoma"/>
          <w:b/>
          <w:sz w:val="24"/>
          <w:szCs w:val="24"/>
        </w:rPr>
      </w:pPr>
      <w:r w:rsidRPr="00F40937">
        <w:rPr>
          <w:rFonts w:asciiTheme="minorHAnsi" w:hAnsiTheme="minorHAnsi" w:cs="Tahoma"/>
          <w:b/>
          <w:sz w:val="24"/>
          <w:szCs w:val="24"/>
        </w:rPr>
        <w:t>20</w:t>
      </w:r>
      <w:r w:rsidR="006B3376" w:rsidRPr="00F40937">
        <w:rPr>
          <w:rFonts w:asciiTheme="minorHAnsi" w:hAnsiTheme="minorHAnsi" w:cs="Tahoma"/>
          <w:b/>
          <w:sz w:val="24"/>
          <w:szCs w:val="24"/>
        </w:rPr>
        <w:t>2</w:t>
      </w:r>
      <w:r w:rsidR="00A825A9">
        <w:rPr>
          <w:rFonts w:asciiTheme="minorHAnsi" w:hAnsiTheme="minorHAnsi" w:cs="Tahoma"/>
          <w:b/>
          <w:sz w:val="24"/>
          <w:szCs w:val="24"/>
        </w:rPr>
        <w:t>5</w:t>
      </w:r>
      <w:r w:rsidRPr="00F40937">
        <w:rPr>
          <w:rFonts w:asciiTheme="minorHAnsi" w:hAnsiTheme="minorHAnsi" w:cs="Tahoma"/>
          <w:b/>
          <w:sz w:val="24"/>
          <w:szCs w:val="24"/>
        </w:rPr>
        <w:t xml:space="preserve"> YILI OLAĞAN GENEL KURUL TOPLANTISI</w:t>
      </w:r>
    </w:p>
    <w:p w14:paraId="7784AE7B" w14:textId="77777777" w:rsidR="00650AC1" w:rsidRPr="00F40937" w:rsidRDefault="00650AC1" w:rsidP="00650AC1">
      <w:pPr>
        <w:jc w:val="center"/>
        <w:rPr>
          <w:rFonts w:asciiTheme="minorHAnsi" w:hAnsiTheme="minorHAnsi" w:cs="Tahoma"/>
          <w:b/>
          <w:sz w:val="24"/>
          <w:szCs w:val="24"/>
        </w:rPr>
      </w:pPr>
      <w:r w:rsidRPr="00F40937">
        <w:rPr>
          <w:rFonts w:asciiTheme="minorHAnsi" w:hAnsiTheme="minorHAnsi" w:cs="Tahoma"/>
          <w:b/>
          <w:sz w:val="24"/>
          <w:szCs w:val="24"/>
        </w:rPr>
        <w:t>BİLGİLENDİRME DOKÜMANI</w:t>
      </w:r>
    </w:p>
    <w:p w14:paraId="3826A676" w14:textId="77777777" w:rsidR="00650AC1" w:rsidRPr="00F40937" w:rsidRDefault="00650AC1" w:rsidP="00650AC1">
      <w:pPr>
        <w:jc w:val="both"/>
        <w:rPr>
          <w:rFonts w:asciiTheme="minorHAnsi" w:hAnsiTheme="minorHAnsi" w:cs="Tahoma"/>
          <w:b/>
          <w:sz w:val="24"/>
          <w:szCs w:val="24"/>
        </w:rPr>
      </w:pPr>
    </w:p>
    <w:p w14:paraId="3DCCC76C" w14:textId="0A5B2FA0" w:rsidR="00650AC1" w:rsidRPr="00F40937" w:rsidRDefault="00650AC1" w:rsidP="00650AC1">
      <w:pPr>
        <w:jc w:val="both"/>
        <w:rPr>
          <w:rFonts w:asciiTheme="minorHAnsi" w:hAnsiTheme="minorHAnsi" w:cs="Tahoma"/>
          <w:sz w:val="23"/>
          <w:szCs w:val="23"/>
        </w:rPr>
      </w:pPr>
      <w:r w:rsidRPr="00F40937">
        <w:rPr>
          <w:rFonts w:asciiTheme="minorHAnsi" w:hAnsiTheme="minorHAnsi" w:cs="Tahoma"/>
          <w:sz w:val="23"/>
          <w:szCs w:val="23"/>
        </w:rPr>
        <w:t>Şirketimizin 20</w:t>
      </w:r>
      <w:r w:rsidR="006B3376" w:rsidRPr="00F40937">
        <w:rPr>
          <w:rFonts w:asciiTheme="minorHAnsi" w:hAnsiTheme="minorHAnsi" w:cs="Tahoma"/>
          <w:sz w:val="23"/>
          <w:szCs w:val="23"/>
        </w:rPr>
        <w:t>2</w:t>
      </w:r>
      <w:r w:rsidR="00A825A9">
        <w:rPr>
          <w:rFonts w:asciiTheme="minorHAnsi" w:hAnsiTheme="minorHAnsi" w:cs="Tahoma"/>
          <w:sz w:val="23"/>
          <w:szCs w:val="23"/>
        </w:rPr>
        <w:t>5</w:t>
      </w:r>
      <w:r w:rsidRPr="00F40937">
        <w:rPr>
          <w:rFonts w:asciiTheme="minorHAnsi" w:hAnsiTheme="minorHAnsi" w:cs="Tahoma"/>
          <w:sz w:val="23"/>
          <w:szCs w:val="23"/>
        </w:rPr>
        <w:t xml:space="preserve"> yılına ilişkin Ortaklar Olağan Genel Kurul </w:t>
      </w:r>
      <w:r w:rsidR="00265270" w:rsidRPr="00F40937">
        <w:rPr>
          <w:rFonts w:asciiTheme="minorHAnsi" w:hAnsiTheme="minorHAnsi" w:cs="Tahoma"/>
          <w:sz w:val="23"/>
          <w:szCs w:val="23"/>
        </w:rPr>
        <w:t>T</w:t>
      </w:r>
      <w:r w:rsidRPr="00F40937">
        <w:rPr>
          <w:rFonts w:asciiTheme="minorHAnsi" w:hAnsiTheme="minorHAnsi" w:cs="Tahoma"/>
          <w:sz w:val="23"/>
          <w:szCs w:val="23"/>
        </w:rPr>
        <w:t xml:space="preserve">oplantısı, </w:t>
      </w:r>
      <w:r w:rsidR="00F14ECE">
        <w:rPr>
          <w:rFonts w:asciiTheme="minorHAnsi" w:hAnsiTheme="minorHAnsi" w:cs="Tahoma"/>
          <w:sz w:val="23"/>
          <w:szCs w:val="23"/>
        </w:rPr>
        <w:t>aşağıda</w:t>
      </w:r>
      <w:r w:rsidRPr="00F40937">
        <w:rPr>
          <w:rFonts w:asciiTheme="minorHAnsi" w:hAnsiTheme="minorHAnsi" w:cs="Tahoma"/>
          <w:sz w:val="23"/>
          <w:szCs w:val="23"/>
        </w:rPr>
        <w:t xml:space="preserve"> sunulan gündem maddelerini görüşüp karara bağlamak üzere 2</w:t>
      </w:r>
      <w:r w:rsidR="00A825A9">
        <w:rPr>
          <w:rFonts w:asciiTheme="minorHAnsi" w:hAnsiTheme="minorHAnsi" w:cs="Tahoma"/>
          <w:sz w:val="23"/>
          <w:szCs w:val="23"/>
        </w:rPr>
        <w:t>6</w:t>
      </w:r>
      <w:r w:rsidRPr="00F40937">
        <w:rPr>
          <w:rFonts w:asciiTheme="minorHAnsi" w:hAnsiTheme="minorHAnsi" w:cs="Tahoma"/>
          <w:sz w:val="23"/>
          <w:szCs w:val="23"/>
        </w:rPr>
        <w:t xml:space="preserve"> Mart 20</w:t>
      </w:r>
      <w:r w:rsidR="005839F4" w:rsidRPr="00F40937">
        <w:rPr>
          <w:rFonts w:asciiTheme="minorHAnsi" w:hAnsiTheme="minorHAnsi" w:cs="Tahoma"/>
          <w:sz w:val="23"/>
          <w:szCs w:val="23"/>
        </w:rPr>
        <w:t>2</w:t>
      </w:r>
      <w:r w:rsidR="00A825A9">
        <w:rPr>
          <w:rFonts w:asciiTheme="minorHAnsi" w:hAnsiTheme="minorHAnsi" w:cs="Tahoma"/>
          <w:sz w:val="23"/>
          <w:szCs w:val="23"/>
        </w:rPr>
        <w:t>6</w:t>
      </w:r>
      <w:r w:rsidRPr="00F40937">
        <w:rPr>
          <w:rFonts w:asciiTheme="minorHAnsi" w:hAnsiTheme="minorHAnsi" w:cs="Tahoma"/>
          <w:sz w:val="23"/>
          <w:szCs w:val="23"/>
        </w:rPr>
        <w:t xml:space="preserve"> </w:t>
      </w:r>
      <w:r w:rsidR="00A825A9">
        <w:rPr>
          <w:rFonts w:asciiTheme="minorHAnsi" w:hAnsiTheme="minorHAnsi" w:cs="Tahoma"/>
          <w:sz w:val="23"/>
          <w:szCs w:val="23"/>
        </w:rPr>
        <w:t xml:space="preserve">Perşembe </w:t>
      </w:r>
      <w:r w:rsidRPr="00F40937">
        <w:rPr>
          <w:rFonts w:asciiTheme="minorHAnsi" w:hAnsiTheme="minorHAnsi" w:cs="Tahoma"/>
          <w:sz w:val="23"/>
          <w:szCs w:val="23"/>
        </w:rPr>
        <w:t xml:space="preserve">günü saat </w:t>
      </w:r>
      <w:r w:rsidR="006B3376" w:rsidRPr="00F40937">
        <w:rPr>
          <w:rFonts w:asciiTheme="minorHAnsi" w:hAnsiTheme="minorHAnsi" w:cs="Tahoma"/>
          <w:sz w:val="23"/>
          <w:szCs w:val="23"/>
        </w:rPr>
        <w:t>10</w:t>
      </w:r>
      <w:r w:rsidRPr="00F40937">
        <w:rPr>
          <w:rFonts w:asciiTheme="minorHAnsi" w:hAnsiTheme="minorHAnsi" w:cs="Tahoma"/>
          <w:sz w:val="23"/>
          <w:szCs w:val="23"/>
        </w:rPr>
        <w:t>:</w:t>
      </w:r>
      <w:r w:rsidR="009777AF" w:rsidRPr="00F40937">
        <w:rPr>
          <w:rFonts w:asciiTheme="minorHAnsi" w:hAnsiTheme="minorHAnsi" w:cs="Tahoma"/>
          <w:sz w:val="23"/>
          <w:szCs w:val="23"/>
        </w:rPr>
        <w:t>0</w:t>
      </w:r>
      <w:r w:rsidR="00EC08CE" w:rsidRPr="00F40937">
        <w:rPr>
          <w:rFonts w:asciiTheme="minorHAnsi" w:hAnsiTheme="minorHAnsi" w:cs="Tahoma"/>
          <w:sz w:val="23"/>
          <w:szCs w:val="23"/>
        </w:rPr>
        <w:t>0’da “İş Kuleleri,</w:t>
      </w:r>
      <w:r w:rsidR="00E2725D" w:rsidRPr="00F40937">
        <w:rPr>
          <w:rFonts w:asciiTheme="minorHAnsi" w:hAnsiTheme="minorHAnsi" w:cs="Tahoma"/>
          <w:sz w:val="23"/>
          <w:szCs w:val="23"/>
        </w:rPr>
        <w:t xml:space="preserve"> </w:t>
      </w:r>
      <w:r w:rsidR="00837A0D" w:rsidRPr="00F40937">
        <w:rPr>
          <w:rFonts w:asciiTheme="minorHAnsi" w:hAnsiTheme="minorHAnsi" w:cs="Tahoma"/>
          <w:sz w:val="23"/>
          <w:szCs w:val="23"/>
        </w:rPr>
        <w:t xml:space="preserve">34330, İş Bankası Oditoryum Binası, </w:t>
      </w:r>
      <w:r w:rsidRPr="00F40937">
        <w:rPr>
          <w:rFonts w:asciiTheme="minorHAnsi" w:hAnsiTheme="minorHAnsi" w:cs="Tahoma"/>
          <w:sz w:val="23"/>
          <w:szCs w:val="23"/>
        </w:rPr>
        <w:t>4.</w:t>
      </w:r>
      <w:r w:rsidR="00265270" w:rsidRPr="00F40937">
        <w:rPr>
          <w:rFonts w:asciiTheme="minorHAnsi" w:hAnsiTheme="minorHAnsi" w:cs="Tahoma"/>
          <w:sz w:val="23"/>
          <w:szCs w:val="23"/>
        </w:rPr>
        <w:t xml:space="preserve"> </w:t>
      </w:r>
      <w:r w:rsidRPr="00F40937">
        <w:rPr>
          <w:rFonts w:asciiTheme="minorHAnsi" w:hAnsiTheme="minorHAnsi" w:cs="Tahoma"/>
          <w:sz w:val="23"/>
          <w:szCs w:val="23"/>
        </w:rPr>
        <w:t xml:space="preserve">Levent – İstanbul” adresinde gerçekleştirilecektir. </w:t>
      </w:r>
    </w:p>
    <w:p w14:paraId="740B49CE" w14:textId="77777777" w:rsidR="00650AC1" w:rsidRPr="00F40937" w:rsidRDefault="00650AC1" w:rsidP="0050121D">
      <w:pPr>
        <w:pStyle w:val="Default"/>
        <w:spacing w:line="276" w:lineRule="auto"/>
        <w:jc w:val="both"/>
        <w:rPr>
          <w:rFonts w:asciiTheme="minorHAnsi" w:eastAsia="Times New Roman" w:hAnsiTheme="minorHAnsi" w:cs="Tahoma"/>
          <w:color w:val="auto"/>
          <w:sz w:val="23"/>
          <w:szCs w:val="23"/>
        </w:rPr>
      </w:pPr>
    </w:p>
    <w:p w14:paraId="701B604A" w14:textId="798405A6" w:rsidR="00337ED4" w:rsidRPr="00D4229D" w:rsidRDefault="00337ED4" w:rsidP="0050121D">
      <w:pPr>
        <w:pStyle w:val="Default"/>
        <w:jc w:val="both"/>
        <w:rPr>
          <w:rFonts w:asciiTheme="minorHAnsi" w:hAnsiTheme="minorHAnsi" w:cs="Tahoma"/>
          <w:sz w:val="23"/>
          <w:szCs w:val="23"/>
        </w:rPr>
      </w:pPr>
      <w:r w:rsidRPr="00F40937">
        <w:rPr>
          <w:rFonts w:asciiTheme="minorHAnsi" w:eastAsia="Times New Roman" w:hAnsiTheme="minorHAnsi" w:cs="Tahoma"/>
          <w:color w:val="auto"/>
          <w:sz w:val="23"/>
          <w:szCs w:val="23"/>
        </w:rPr>
        <w:t>20</w:t>
      </w:r>
      <w:r w:rsidR="006B3376" w:rsidRPr="00F40937">
        <w:rPr>
          <w:rFonts w:asciiTheme="minorHAnsi" w:eastAsia="Times New Roman" w:hAnsiTheme="minorHAnsi" w:cs="Tahoma"/>
          <w:color w:val="auto"/>
          <w:sz w:val="23"/>
          <w:szCs w:val="23"/>
        </w:rPr>
        <w:t>2</w:t>
      </w:r>
      <w:r w:rsidR="00A825A9">
        <w:rPr>
          <w:rFonts w:asciiTheme="minorHAnsi" w:eastAsia="Times New Roman" w:hAnsiTheme="minorHAnsi" w:cs="Tahoma"/>
          <w:color w:val="auto"/>
          <w:sz w:val="23"/>
          <w:szCs w:val="23"/>
        </w:rPr>
        <w:t>5</w:t>
      </w:r>
      <w:r w:rsidRPr="00F40937">
        <w:rPr>
          <w:rFonts w:asciiTheme="minorHAnsi" w:hAnsiTheme="minorHAnsi" w:cs="Tahoma"/>
          <w:sz w:val="23"/>
          <w:szCs w:val="23"/>
        </w:rPr>
        <w:t xml:space="preserve"> faaliyet yılına ait Yönetim Kurulu Faaliyet Raporu, Bağımsız Denetçi Raporu, Bilanço ve </w:t>
      </w:r>
      <w:r w:rsidR="00265270" w:rsidRPr="00F40937">
        <w:rPr>
          <w:rFonts w:asciiTheme="minorHAnsi" w:hAnsiTheme="minorHAnsi" w:cs="Tahoma"/>
          <w:sz w:val="23"/>
          <w:szCs w:val="23"/>
        </w:rPr>
        <w:t>Kar veya Zarar</w:t>
      </w:r>
      <w:r w:rsidR="0050121D" w:rsidRPr="00F40937">
        <w:rPr>
          <w:rFonts w:asciiTheme="minorHAnsi" w:hAnsiTheme="minorHAnsi" w:cs="Tahoma"/>
          <w:sz w:val="23"/>
          <w:szCs w:val="23"/>
        </w:rPr>
        <w:t xml:space="preserve"> Tablosu, Kar Dağıtım Önerisi ve işbu gündem maddeleri ile Sermaye Piyasası Mevzuatı</w:t>
      </w:r>
      <w:r w:rsidR="00265270" w:rsidRPr="00F40937">
        <w:rPr>
          <w:rFonts w:asciiTheme="minorHAnsi" w:hAnsiTheme="minorHAnsi" w:cs="Tahoma"/>
          <w:sz w:val="23"/>
          <w:szCs w:val="23"/>
        </w:rPr>
        <w:t>’</w:t>
      </w:r>
      <w:r w:rsidR="0050121D" w:rsidRPr="00F40937">
        <w:rPr>
          <w:rFonts w:asciiTheme="minorHAnsi" w:hAnsiTheme="minorHAnsi" w:cs="Tahoma"/>
          <w:sz w:val="23"/>
          <w:szCs w:val="23"/>
        </w:rPr>
        <w:t xml:space="preserve">na uyum için gerekli açıklamaları içeren ayrıntılı Bilgilendirme Notu toplantıdan üç hafta önce kanuni süresi içinde Şirket Merkezi’nde, </w:t>
      </w:r>
      <w:hyperlink r:id="rId8" w:history="1">
        <w:r w:rsidR="0050121D" w:rsidRPr="00F40937">
          <w:rPr>
            <w:rStyle w:val="Kpr"/>
            <w:rFonts w:asciiTheme="minorHAnsi" w:hAnsiTheme="minorHAnsi" w:cs="Tahoma"/>
            <w:sz w:val="23"/>
            <w:szCs w:val="23"/>
          </w:rPr>
          <w:t>www.isleasing.com.tr</w:t>
        </w:r>
      </w:hyperlink>
      <w:r w:rsidR="0050121D" w:rsidRPr="00F40937">
        <w:rPr>
          <w:rFonts w:asciiTheme="minorHAnsi" w:hAnsiTheme="minorHAnsi" w:cs="Tahoma"/>
          <w:sz w:val="23"/>
          <w:szCs w:val="23"/>
        </w:rPr>
        <w:t xml:space="preserve"> adresindeki Şirket internet sitesinde ve Merkezi Kayıt Kuruluşu’nun</w:t>
      </w:r>
      <w:r w:rsidR="00772AEE" w:rsidRPr="00F40937">
        <w:rPr>
          <w:rFonts w:asciiTheme="minorHAnsi" w:hAnsiTheme="minorHAnsi" w:cs="Tahoma"/>
          <w:sz w:val="23"/>
          <w:szCs w:val="23"/>
        </w:rPr>
        <w:t xml:space="preserve"> (MKK)</w:t>
      </w:r>
      <w:r w:rsidR="0050121D" w:rsidRPr="00F40937">
        <w:rPr>
          <w:rFonts w:asciiTheme="minorHAnsi" w:hAnsiTheme="minorHAnsi" w:cs="Tahoma"/>
          <w:sz w:val="23"/>
          <w:szCs w:val="23"/>
        </w:rPr>
        <w:t xml:space="preserve"> Elektronik Genel Kurul </w:t>
      </w:r>
      <w:r w:rsidR="00265270" w:rsidRPr="00F40937">
        <w:rPr>
          <w:rFonts w:asciiTheme="minorHAnsi" w:hAnsiTheme="minorHAnsi" w:cs="Tahoma"/>
          <w:sz w:val="23"/>
          <w:szCs w:val="23"/>
        </w:rPr>
        <w:t>S</w:t>
      </w:r>
      <w:r w:rsidR="0050121D" w:rsidRPr="00F40937">
        <w:rPr>
          <w:rFonts w:asciiTheme="minorHAnsi" w:hAnsiTheme="minorHAnsi" w:cs="Tahoma"/>
          <w:sz w:val="23"/>
          <w:szCs w:val="23"/>
        </w:rPr>
        <w:t>istemi</w:t>
      </w:r>
      <w:r w:rsidR="00265270" w:rsidRPr="00F40937">
        <w:rPr>
          <w:rFonts w:asciiTheme="minorHAnsi" w:hAnsiTheme="minorHAnsi" w:cs="Tahoma"/>
          <w:sz w:val="23"/>
          <w:szCs w:val="23"/>
        </w:rPr>
        <w:t>’</w:t>
      </w:r>
      <w:r w:rsidR="0050121D" w:rsidRPr="00F40937">
        <w:rPr>
          <w:rFonts w:asciiTheme="minorHAnsi" w:hAnsiTheme="minorHAnsi" w:cs="Tahoma"/>
          <w:sz w:val="23"/>
          <w:szCs w:val="23"/>
        </w:rPr>
        <w:t>nde</w:t>
      </w:r>
      <w:r w:rsidR="00265270" w:rsidRPr="00F40937">
        <w:rPr>
          <w:rFonts w:asciiTheme="minorHAnsi" w:hAnsiTheme="minorHAnsi" w:cs="Tahoma"/>
          <w:sz w:val="23"/>
          <w:szCs w:val="23"/>
        </w:rPr>
        <w:t xml:space="preserve"> (EGKS)</w:t>
      </w:r>
      <w:r w:rsidR="0050121D" w:rsidRPr="00F40937">
        <w:rPr>
          <w:rFonts w:asciiTheme="minorHAnsi" w:hAnsiTheme="minorHAnsi" w:cs="Tahoma"/>
          <w:sz w:val="23"/>
          <w:szCs w:val="23"/>
        </w:rPr>
        <w:t xml:space="preserve"> Sayın Pay Sahiplerinin incelemelerine hazır bulundurulacaktır.</w:t>
      </w:r>
    </w:p>
    <w:p w14:paraId="6549EBD8" w14:textId="77777777" w:rsidR="00337ED4" w:rsidRDefault="00337ED4" w:rsidP="00666940">
      <w:pPr>
        <w:pStyle w:val="Default"/>
        <w:spacing w:line="276" w:lineRule="auto"/>
        <w:jc w:val="both"/>
        <w:rPr>
          <w:rFonts w:asciiTheme="minorHAnsi" w:eastAsia="Times New Roman" w:hAnsiTheme="minorHAnsi" w:cs="Tahoma"/>
          <w:color w:val="auto"/>
          <w:sz w:val="23"/>
          <w:szCs w:val="23"/>
        </w:rPr>
      </w:pPr>
    </w:p>
    <w:p w14:paraId="5FE9AC23" w14:textId="6E8F18AF" w:rsidR="00666940" w:rsidRPr="00F40937" w:rsidRDefault="00666940" w:rsidP="00666940">
      <w:pPr>
        <w:jc w:val="both"/>
        <w:rPr>
          <w:rFonts w:asciiTheme="minorHAnsi" w:hAnsiTheme="minorHAnsi" w:cs="Tahoma"/>
          <w:sz w:val="23"/>
          <w:szCs w:val="23"/>
        </w:rPr>
      </w:pPr>
      <w:r w:rsidRPr="00666940">
        <w:rPr>
          <w:rFonts w:asciiTheme="minorHAnsi" w:hAnsiTheme="minorHAnsi" w:cs="Tahoma"/>
          <w:sz w:val="23"/>
          <w:szCs w:val="23"/>
        </w:rPr>
        <w:t xml:space="preserve">6102 sayılı Türk Ticaret Kanunu’nun (TTK) 415. maddesinin 4. fıkrası uyarınca genel kurula katılma ve oy kullanma hakkı, pay senetlerinin depo edilmesi şartına bağlanamayacaktır. Genel </w:t>
      </w:r>
      <w:r w:rsidR="00265270">
        <w:rPr>
          <w:rFonts w:asciiTheme="minorHAnsi" w:hAnsiTheme="minorHAnsi" w:cs="Tahoma"/>
          <w:sz w:val="23"/>
          <w:szCs w:val="23"/>
        </w:rPr>
        <w:t>k</w:t>
      </w:r>
      <w:r w:rsidRPr="00666940">
        <w:rPr>
          <w:rFonts w:asciiTheme="minorHAnsi" w:hAnsiTheme="minorHAnsi" w:cs="Tahoma"/>
          <w:sz w:val="23"/>
          <w:szCs w:val="23"/>
        </w:rPr>
        <w:t xml:space="preserve">urullara bizzat katılacak veya vekil gönderecek ortaklarımızın, paylarını Merkezi Kayıt Kuruluşu (MKK) nezdinde bloke ettirmelerine gerek bulunmamaktadır. Genel kurullara şahsen ve fiziken katılacak ortaklarımızın toplantıda kimlik göstermeleri gerekmektedir. Bununla birlikte, kimliklerinin ve </w:t>
      </w:r>
      <w:r w:rsidRPr="00F40937">
        <w:rPr>
          <w:rFonts w:asciiTheme="minorHAnsi" w:hAnsiTheme="minorHAnsi" w:cs="Tahoma"/>
          <w:sz w:val="23"/>
          <w:szCs w:val="23"/>
        </w:rPr>
        <w:t>hesaplarındaki paylara ilişkin bilgilerin Şirketimize bildirilmesini istemeyen ve bu nedenle söz konusu bilgileri Şirketimiz tarafından görülemeyen ortaklarımızın, Genel Kurul Toplantısı’na iştirak etmek istemeleri durumunda, hesaplarının bulunduğu aracı kuruluşlara müracaat etmeleri ve en geç 2</w:t>
      </w:r>
      <w:r w:rsidR="00F14ECE">
        <w:rPr>
          <w:rFonts w:asciiTheme="minorHAnsi" w:hAnsiTheme="minorHAnsi" w:cs="Tahoma"/>
          <w:sz w:val="23"/>
          <w:szCs w:val="23"/>
        </w:rPr>
        <w:t>5</w:t>
      </w:r>
      <w:r w:rsidRPr="00F40937">
        <w:rPr>
          <w:rFonts w:asciiTheme="minorHAnsi" w:hAnsiTheme="minorHAnsi" w:cs="Tahoma"/>
          <w:sz w:val="23"/>
          <w:szCs w:val="23"/>
        </w:rPr>
        <w:t xml:space="preserve"> Mart </w:t>
      </w:r>
      <w:r w:rsidR="005839F4" w:rsidRPr="00F40937">
        <w:rPr>
          <w:rFonts w:asciiTheme="minorHAnsi" w:hAnsiTheme="minorHAnsi" w:cs="Tahoma"/>
          <w:sz w:val="23"/>
          <w:szCs w:val="23"/>
        </w:rPr>
        <w:t>202</w:t>
      </w:r>
      <w:r w:rsidR="00A825A9">
        <w:rPr>
          <w:rFonts w:asciiTheme="minorHAnsi" w:hAnsiTheme="minorHAnsi" w:cs="Tahoma"/>
          <w:sz w:val="23"/>
          <w:szCs w:val="23"/>
        </w:rPr>
        <w:t>6</w:t>
      </w:r>
      <w:r w:rsidR="005839F4" w:rsidRPr="00F40937">
        <w:rPr>
          <w:rFonts w:asciiTheme="minorHAnsi" w:hAnsiTheme="minorHAnsi" w:cs="Tahoma"/>
          <w:sz w:val="23"/>
          <w:szCs w:val="23"/>
        </w:rPr>
        <w:t xml:space="preserve"> </w:t>
      </w:r>
      <w:r w:rsidRPr="00F40937">
        <w:rPr>
          <w:rFonts w:asciiTheme="minorHAnsi" w:hAnsiTheme="minorHAnsi" w:cs="Tahoma"/>
          <w:sz w:val="23"/>
          <w:szCs w:val="23"/>
        </w:rPr>
        <w:t>günü saat 16:30’a kadar kimliklerinin ve hesaplarındaki paylara ilişkin bilgilerin Şirketimize bildirilmesini engelleyen kısıtlamanın kaldırılmasını sağlamaları gerekmektedir.</w:t>
      </w:r>
    </w:p>
    <w:p w14:paraId="227D9F6C" w14:textId="77777777" w:rsidR="00650AC1" w:rsidRPr="00F40937" w:rsidRDefault="00650AC1" w:rsidP="00650AC1">
      <w:pPr>
        <w:jc w:val="both"/>
        <w:rPr>
          <w:rFonts w:asciiTheme="minorHAnsi" w:hAnsiTheme="minorHAnsi" w:cs="Tahoma"/>
          <w:sz w:val="23"/>
          <w:szCs w:val="23"/>
        </w:rPr>
      </w:pPr>
    </w:p>
    <w:p w14:paraId="4859AA81" w14:textId="3FA1AB81" w:rsidR="00666940" w:rsidRPr="00F40937" w:rsidRDefault="00666940" w:rsidP="0050121D">
      <w:pPr>
        <w:pStyle w:val="Default"/>
        <w:jc w:val="both"/>
        <w:rPr>
          <w:rFonts w:asciiTheme="minorHAnsi" w:eastAsia="Times New Roman" w:hAnsiTheme="minorHAnsi" w:cs="Tahoma"/>
          <w:color w:val="auto"/>
          <w:sz w:val="23"/>
          <w:szCs w:val="23"/>
        </w:rPr>
      </w:pPr>
      <w:r w:rsidRPr="00F40937">
        <w:rPr>
          <w:rFonts w:asciiTheme="minorHAnsi" w:eastAsia="Times New Roman" w:hAnsiTheme="minorHAnsi" w:cs="Tahoma"/>
          <w:color w:val="auto"/>
          <w:sz w:val="23"/>
          <w:szCs w:val="23"/>
        </w:rPr>
        <w:t>TTK’nın 1527. maddesinin 4. fıkrası uyarınca isteyen ortaklarımız Genel Kurul Toplantısı’na elektronik ortamda ve şahsen veya temsilcileri aracılığıyla katılabileceklerdir. Genel Kurul Toplantısı</w:t>
      </w:r>
      <w:r w:rsidR="00265270" w:rsidRPr="00F40937">
        <w:rPr>
          <w:rFonts w:asciiTheme="minorHAnsi" w:eastAsia="Times New Roman" w:hAnsiTheme="minorHAnsi" w:cs="Tahoma"/>
          <w:color w:val="auto"/>
          <w:sz w:val="23"/>
          <w:szCs w:val="23"/>
        </w:rPr>
        <w:t>’</w:t>
      </w:r>
      <w:r w:rsidRPr="00F40937">
        <w:rPr>
          <w:rFonts w:asciiTheme="minorHAnsi" w:eastAsia="Times New Roman" w:hAnsiTheme="minorHAnsi" w:cs="Tahoma"/>
          <w:color w:val="auto"/>
          <w:sz w:val="23"/>
          <w:szCs w:val="23"/>
        </w:rPr>
        <w:t xml:space="preserve">na şahsen veya temsilcileri aracılığıyla katılmak isteyenlerin, bu tercihlerini Genel Kurul tarihinden 1 (bir) gün öncesine kadar MKK tarafından sağlanan </w:t>
      </w:r>
      <w:r w:rsidR="00265270" w:rsidRPr="00F40937">
        <w:rPr>
          <w:rFonts w:asciiTheme="minorHAnsi" w:eastAsia="Times New Roman" w:hAnsiTheme="minorHAnsi" w:cs="Tahoma"/>
          <w:color w:val="auto"/>
          <w:sz w:val="23"/>
          <w:szCs w:val="23"/>
        </w:rPr>
        <w:t xml:space="preserve">EGKS </w:t>
      </w:r>
      <w:r w:rsidRPr="00F40937">
        <w:rPr>
          <w:rFonts w:asciiTheme="minorHAnsi" w:eastAsia="Times New Roman" w:hAnsiTheme="minorHAnsi" w:cs="Tahoma"/>
          <w:color w:val="auto"/>
          <w:sz w:val="23"/>
          <w:szCs w:val="23"/>
        </w:rPr>
        <w:t>üzerinden bildirmeleri gerekmektedir.</w:t>
      </w:r>
    </w:p>
    <w:p w14:paraId="32EF0083" w14:textId="77777777" w:rsidR="00650AC1" w:rsidRPr="00F40937" w:rsidRDefault="00650AC1" w:rsidP="00650AC1">
      <w:pPr>
        <w:jc w:val="both"/>
        <w:rPr>
          <w:rFonts w:asciiTheme="minorHAnsi" w:hAnsiTheme="minorHAnsi" w:cs="Tahoma"/>
          <w:sz w:val="23"/>
          <w:szCs w:val="23"/>
        </w:rPr>
      </w:pPr>
    </w:p>
    <w:p w14:paraId="15F37FC7" w14:textId="0D73A172" w:rsidR="00666940" w:rsidRPr="00F40937" w:rsidRDefault="00666940" w:rsidP="0050121D">
      <w:pPr>
        <w:pStyle w:val="Default"/>
        <w:jc w:val="both"/>
        <w:rPr>
          <w:rFonts w:asciiTheme="minorHAnsi" w:eastAsia="Times New Roman" w:hAnsiTheme="minorHAnsi" w:cs="Tahoma"/>
          <w:color w:val="auto"/>
          <w:sz w:val="23"/>
          <w:szCs w:val="23"/>
        </w:rPr>
      </w:pPr>
      <w:r w:rsidRPr="00F40937">
        <w:rPr>
          <w:rFonts w:asciiTheme="minorHAnsi" w:eastAsia="Times New Roman" w:hAnsiTheme="minorHAnsi" w:cs="Tahoma"/>
          <w:color w:val="auto"/>
          <w:sz w:val="23"/>
          <w:szCs w:val="23"/>
        </w:rPr>
        <w:t xml:space="preserve">Toplantılara vekil vasıtası ile katılacak ortaklarımızın 3. kişiler lehine noterden düzenlettirecekleri aşağıda örneği bulunan vekaletnameyi, toplantı gününden en az </w:t>
      </w:r>
      <w:r w:rsidR="00265270" w:rsidRPr="00F40937">
        <w:rPr>
          <w:rFonts w:asciiTheme="minorHAnsi" w:eastAsia="Times New Roman" w:hAnsiTheme="minorHAnsi" w:cs="Tahoma"/>
          <w:color w:val="auto"/>
          <w:sz w:val="23"/>
          <w:szCs w:val="23"/>
        </w:rPr>
        <w:t>1 (</w:t>
      </w:r>
      <w:r w:rsidRPr="00F40937">
        <w:rPr>
          <w:rFonts w:asciiTheme="minorHAnsi" w:eastAsia="Times New Roman" w:hAnsiTheme="minorHAnsi" w:cs="Tahoma"/>
          <w:color w:val="auto"/>
          <w:sz w:val="23"/>
          <w:szCs w:val="23"/>
        </w:rPr>
        <w:t>bir</w:t>
      </w:r>
      <w:r w:rsidR="00265270" w:rsidRPr="00F40937">
        <w:rPr>
          <w:rFonts w:asciiTheme="minorHAnsi" w:eastAsia="Times New Roman" w:hAnsiTheme="minorHAnsi" w:cs="Tahoma"/>
          <w:color w:val="auto"/>
          <w:sz w:val="23"/>
          <w:szCs w:val="23"/>
        </w:rPr>
        <w:t>)</w:t>
      </w:r>
      <w:r w:rsidRPr="00F40937">
        <w:rPr>
          <w:rFonts w:asciiTheme="minorHAnsi" w:eastAsia="Times New Roman" w:hAnsiTheme="minorHAnsi" w:cs="Tahoma"/>
          <w:color w:val="auto"/>
          <w:sz w:val="23"/>
          <w:szCs w:val="23"/>
        </w:rPr>
        <w:t xml:space="preserve"> hafta </w:t>
      </w:r>
      <w:r w:rsidRPr="00A66830">
        <w:rPr>
          <w:rFonts w:asciiTheme="minorHAnsi" w:eastAsia="Times New Roman" w:hAnsiTheme="minorHAnsi" w:cs="Tahoma"/>
          <w:color w:val="auto"/>
          <w:sz w:val="23"/>
          <w:szCs w:val="23"/>
        </w:rPr>
        <w:t xml:space="preserve">önce </w:t>
      </w:r>
      <w:r w:rsidR="00FC3832" w:rsidRPr="00A66830">
        <w:rPr>
          <w:rFonts w:asciiTheme="minorHAnsi" w:eastAsia="Times New Roman" w:hAnsiTheme="minorHAnsi" w:cs="Tahoma"/>
          <w:color w:val="auto"/>
          <w:sz w:val="23"/>
          <w:szCs w:val="23"/>
        </w:rPr>
        <w:t>1</w:t>
      </w:r>
      <w:r w:rsidR="00A825A9" w:rsidRPr="00A66830">
        <w:rPr>
          <w:rFonts w:asciiTheme="minorHAnsi" w:eastAsia="Times New Roman" w:hAnsiTheme="minorHAnsi" w:cs="Tahoma"/>
          <w:color w:val="auto"/>
          <w:sz w:val="23"/>
          <w:szCs w:val="23"/>
        </w:rPr>
        <w:t>9</w:t>
      </w:r>
      <w:r w:rsidRPr="00A66830">
        <w:rPr>
          <w:rFonts w:asciiTheme="minorHAnsi" w:eastAsia="Times New Roman" w:hAnsiTheme="minorHAnsi" w:cs="Tahoma"/>
          <w:color w:val="auto"/>
          <w:sz w:val="23"/>
          <w:szCs w:val="23"/>
        </w:rPr>
        <w:t xml:space="preserve"> Mart </w:t>
      </w:r>
      <w:r w:rsidR="005839F4" w:rsidRPr="00A66830">
        <w:rPr>
          <w:rFonts w:asciiTheme="minorHAnsi" w:eastAsia="Times New Roman" w:hAnsiTheme="minorHAnsi" w:cs="Tahoma"/>
          <w:color w:val="auto"/>
          <w:sz w:val="23"/>
          <w:szCs w:val="23"/>
        </w:rPr>
        <w:t>202</w:t>
      </w:r>
      <w:r w:rsidR="00A825A9" w:rsidRPr="00A66830">
        <w:rPr>
          <w:rFonts w:asciiTheme="minorHAnsi" w:eastAsia="Times New Roman" w:hAnsiTheme="minorHAnsi" w:cs="Tahoma"/>
          <w:color w:val="auto"/>
          <w:sz w:val="23"/>
          <w:szCs w:val="23"/>
        </w:rPr>
        <w:t>6</w:t>
      </w:r>
      <w:r w:rsidRPr="00A66830">
        <w:rPr>
          <w:rFonts w:asciiTheme="minorHAnsi" w:eastAsia="Times New Roman" w:hAnsiTheme="minorHAnsi" w:cs="Tahoma"/>
          <w:color w:val="auto"/>
          <w:sz w:val="23"/>
          <w:szCs w:val="23"/>
        </w:rPr>
        <w:t xml:space="preserve"> </w:t>
      </w:r>
      <w:r w:rsidR="00A825A9" w:rsidRPr="00A66830">
        <w:rPr>
          <w:rFonts w:asciiTheme="minorHAnsi" w:eastAsia="Times New Roman" w:hAnsiTheme="minorHAnsi" w:cs="Tahoma"/>
          <w:color w:val="auto"/>
          <w:sz w:val="23"/>
          <w:szCs w:val="23"/>
        </w:rPr>
        <w:t xml:space="preserve">Perşembe </w:t>
      </w:r>
      <w:r w:rsidRPr="00A66830">
        <w:rPr>
          <w:rFonts w:asciiTheme="minorHAnsi" w:eastAsia="Times New Roman" w:hAnsiTheme="minorHAnsi" w:cs="Tahoma"/>
          <w:color w:val="auto"/>
          <w:sz w:val="23"/>
          <w:szCs w:val="23"/>
        </w:rPr>
        <w:t>günü mesai saati bitimine kadar, Şirket Merkezi’ne ulaştırmaları veya toplantıya</w:t>
      </w:r>
      <w:r w:rsidRPr="00F40937">
        <w:rPr>
          <w:rFonts w:asciiTheme="minorHAnsi" w:eastAsia="Times New Roman" w:hAnsiTheme="minorHAnsi" w:cs="Tahoma"/>
          <w:color w:val="auto"/>
          <w:sz w:val="23"/>
          <w:szCs w:val="23"/>
        </w:rPr>
        <w:t xml:space="preserve"> katılacak vekilin kimlik bilgilerinin toplantı gününden 1 (bir) gün öncesine kadar EGKS’</w:t>
      </w:r>
      <w:r w:rsidR="00265270" w:rsidRPr="00F40937">
        <w:rPr>
          <w:rFonts w:asciiTheme="minorHAnsi" w:eastAsia="Times New Roman" w:hAnsiTheme="minorHAnsi" w:cs="Tahoma"/>
          <w:color w:val="auto"/>
          <w:sz w:val="23"/>
          <w:szCs w:val="23"/>
        </w:rPr>
        <w:t>y</w:t>
      </w:r>
      <w:r w:rsidRPr="00F40937">
        <w:rPr>
          <w:rFonts w:asciiTheme="minorHAnsi" w:eastAsia="Times New Roman" w:hAnsiTheme="minorHAnsi" w:cs="Tahoma"/>
          <w:color w:val="auto"/>
          <w:sz w:val="23"/>
          <w:szCs w:val="23"/>
        </w:rPr>
        <w:t>e kaydettirmeleri gerekmektedir. EGKS üzerinden atanmış vekilin ayrıca fiziksel bir vekalet belgesi ibrazı gerekli olmayıp, EGKS üzerinden atanan vekil Genel Kurul Toplantısına hem fiziken hem de EGKS üzerinden katılabilir. Toplantıya vekaleten ve fiziken katılacak vekilin, ister noter onaylı vekaletname ile isterse EGKS üzerinden atanmış olsun, toplantıda kimlik göstermesi zorunludur.</w:t>
      </w:r>
    </w:p>
    <w:p w14:paraId="3979B522" w14:textId="77777777" w:rsidR="00650AC1" w:rsidRPr="00F40937" w:rsidRDefault="00650AC1" w:rsidP="00650AC1">
      <w:pPr>
        <w:jc w:val="both"/>
        <w:rPr>
          <w:rFonts w:asciiTheme="minorHAnsi" w:hAnsiTheme="minorHAnsi" w:cs="Tahoma"/>
          <w:sz w:val="23"/>
          <w:szCs w:val="23"/>
        </w:rPr>
      </w:pPr>
    </w:p>
    <w:p w14:paraId="0D26A9E7" w14:textId="4BF1FFD8" w:rsidR="00666940" w:rsidRPr="00666940" w:rsidRDefault="00666940" w:rsidP="0050121D">
      <w:pPr>
        <w:pStyle w:val="Default"/>
        <w:jc w:val="both"/>
        <w:rPr>
          <w:rFonts w:asciiTheme="minorHAnsi" w:eastAsia="Times New Roman" w:hAnsiTheme="minorHAnsi" w:cs="Tahoma"/>
          <w:color w:val="auto"/>
          <w:sz w:val="23"/>
          <w:szCs w:val="23"/>
        </w:rPr>
      </w:pPr>
      <w:r w:rsidRPr="00F40937">
        <w:rPr>
          <w:rFonts w:asciiTheme="minorHAnsi" w:eastAsia="Times New Roman" w:hAnsiTheme="minorHAnsi" w:cs="Tahoma"/>
          <w:color w:val="auto"/>
          <w:sz w:val="23"/>
          <w:szCs w:val="23"/>
        </w:rPr>
        <w:t xml:space="preserve">Genel Kurul </w:t>
      </w:r>
      <w:r w:rsidR="00265270" w:rsidRPr="00F40937">
        <w:rPr>
          <w:rFonts w:asciiTheme="minorHAnsi" w:eastAsia="Times New Roman" w:hAnsiTheme="minorHAnsi" w:cs="Tahoma"/>
          <w:color w:val="auto"/>
          <w:sz w:val="23"/>
          <w:szCs w:val="23"/>
        </w:rPr>
        <w:t>T</w:t>
      </w:r>
      <w:r w:rsidRPr="00F40937">
        <w:rPr>
          <w:rFonts w:asciiTheme="minorHAnsi" w:eastAsia="Times New Roman" w:hAnsiTheme="minorHAnsi" w:cs="Tahoma"/>
          <w:color w:val="auto"/>
          <w:sz w:val="23"/>
          <w:szCs w:val="23"/>
        </w:rPr>
        <w:t>oplantısı</w:t>
      </w:r>
      <w:r w:rsidR="00265270" w:rsidRPr="00F40937">
        <w:rPr>
          <w:rFonts w:asciiTheme="minorHAnsi" w:eastAsia="Times New Roman" w:hAnsiTheme="minorHAnsi" w:cs="Tahoma"/>
          <w:color w:val="auto"/>
          <w:sz w:val="23"/>
          <w:szCs w:val="23"/>
        </w:rPr>
        <w:t>’</w:t>
      </w:r>
      <w:r w:rsidRPr="00F40937">
        <w:rPr>
          <w:rFonts w:asciiTheme="minorHAnsi" w:eastAsia="Times New Roman" w:hAnsiTheme="minorHAnsi" w:cs="Tahoma"/>
          <w:color w:val="auto"/>
          <w:sz w:val="23"/>
          <w:szCs w:val="23"/>
        </w:rPr>
        <w:t>na EGKS üzerinden katılmak isteyenlerin ortaklık haklarını sorunsuz kullanabilmelerini teminen e-MKK Bilgi Portalı</w:t>
      </w:r>
      <w:r w:rsidR="00265270" w:rsidRPr="00F40937">
        <w:rPr>
          <w:rFonts w:asciiTheme="minorHAnsi" w:eastAsia="Times New Roman" w:hAnsiTheme="minorHAnsi" w:cs="Tahoma"/>
          <w:color w:val="auto"/>
          <w:sz w:val="23"/>
          <w:szCs w:val="23"/>
        </w:rPr>
        <w:t>’</w:t>
      </w:r>
      <w:r w:rsidRPr="00F40937">
        <w:rPr>
          <w:rFonts w:asciiTheme="minorHAnsi" w:eastAsia="Times New Roman" w:hAnsiTheme="minorHAnsi" w:cs="Tahoma"/>
          <w:color w:val="auto"/>
          <w:sz w:val="23"/>
          <w:szCs w:val="23"/>
        </w:rPr>
        <w:t>na kaydolmaları ve EGKS üzerinden Genel Kurul</w:t>
      </w:r>
      <w:r w:rsidR="00265270" w:rsidRPr="00F40937">
        <w:rPr>
          <w:rFonts w:asciiTheme="minorHAnsi" w:eastAsia="Times New Roman" w:hAnsiTheme="minorHAnsi" w:cs="Tahoma"/>
          <w:color w:val="auto"/>
          <w:sz w:val="23"/>
          <w:szCs w:val="23"/>
        </w:rPr>
        <w:t>’</w:t>
      </w:r>
      <w:r w:rsidRPr="00F40937">
        <w:rPr>
          <w:rFonts w:asciiTheme="minorHAnsi" w:eastAsia="Times New Roman" w:hAnsiTheme="minorHAnsi" w:cs="Tahoma"/>
          <w:color w:val="auto"/>
          <w:sz w:val="23"/>
          <w:szCs w:val="23"/>
        </w:rPr>
        <w:t>a doğrudan katılım veya vekil atamak için güvenli elektronik imzaya sahip olmaları gerekmektedir. Ayrıca EGKS üzerinden toplantıya katılacak vekillerin de güvenli elektronik imzaya sahip olmaları zorunludur. TTK’nın 1526. maddesi uyarınca tüzel kişi ortaklar adına EGKS üzerinden yapılacak</w:t>
      </w:r>
      <w:r w:rsidRPr="00666940">
        <w:rPr>
          <w:rFonts w:asciiTheme="minorHAnsi" w:eastAsia="Times New Roman" w:hAnsiTheme="minorHAnsi" w:cs="Tahoma"/>
          <w:color w:val="auto"/>
          <w:sz w:val="23"/>
          <w:szCs w:val="23"/>
        </w:rPr>
        <w:t xml:space="preserve"> bildirimlerin tüzel kişi imza yetkilisince şirket namına kendi adlarına üretilen güvenli elektronik imza ile imzalanması gerekmektedir.</w:t>
      </w:r>
    </w:p>
    <w:p w14:paraId="1F50C083" w14:textId="77777777" w:rsidR="00666940" w:rsidRDefault="00666940" w:rsidP="0050121D">
      <w:pPr>
        <w:pStyle w:val="Default"/>
        <w:jc w:val="both"/>
        <w:rPr>
          <w:rFonts w:ascii="Tahoma" w:hAnsi="Tahoma" w:cs="Tahoma"/>
          <w:sz w:val="22"/>
          <w:szCs w:val="22"/>
        </w:rPr>
      </w:pPr>
    </w:p>
    <w:p w14:paraId="77F620E7" w14:textId="01CA9004" w:rsidR="00D32A4D" w:rsidRDefault="0050121D" w:rsidP="0050121D">
      <w:pPr>
        <w:jc w:val="both"/>
        <w:rPr>
          <w:rFonts w:asciiTheme="minorHAnsi" w:hAnsiTheme="minorHAnsi" w:cs="Tahoma"/>
          <w:sz w:val="23"/>
          <w:szCs w:val="23"/>
        </w:rPr>
      </w:pPr>
      <w:r>
        <w:rPr>
          <w:rFonts w:asciiTheme="minorHAnsi" w:hAnsiTheme="minorHAnsi" w:cs="Tahoma"/>
          <w:sz w:val="23"/>
          <w:szCs w:val="23"/>
        </w:rPr>
        <w:t xml:space="preserve">Olağan Genel Kurul </w:t>
      </w:r>
      <w:r w:rsidR="00265270">
        <w:rPr>
          <w:rFonts w:asciiTheme="minorHAnsi" w:hAnsiTheme="minorHAnsi" w:cs="Tahoma"/>
          <w:sz w:val="23"/>
          <w:szCs w:val="23"/>
        </w:rPr>
        <w:t>T</w:t>
      </w:r>
      <w:r>
        <w:rPr>
          <w:rFonts w:asciiTheme="minorHAnsi" w:hAnsiTheme="minorHAnsi" w:cs="Tahoma"/>
          <w:sz w:val="23"/>
          <w:szCs w:val="23"/>
        </w:rPr>
        <w:t>oplantısı</w:t>
      </w:r>
      <w:r w:rsidR="00265270">
        <w:rPr>
          <w:rFonts w:asciiTheme="minorHAnsi" w:hAnsiTheme="minorHAnsi" w:cs="Tahoma"/>
          <w:sz w:val="23"/>
          <w:szCs w:val="23"/>
        </w:rPr>
        <w:t>’</w:t>
      </w:r>
      <w:r>
        <w:rPr>
          <w:rFonts w:asciiTheme="minorHAnsi" w:hAnsiTheme="minorHAnsi" w:cs="Tahoma"/>
          <w:sz w:val="23"/>
          <w:szCs w:val="23"/>
        </w:rPr>
        <w:t>nda gündem maddelerinin oylanmasına ilişkin elektronik ortamda oy kullanılma hükümleri saklı olmak kaydıyla, el kaldırma usulü ile açık oylama yöntemi kullanılacaktır.</w:t>
      </w:r>
    </w:p>
    <w:p w14:paraId="38592A6A" w14:textId="77777777" w:rsidR="001524FC" w:rsidRDefault="001524FC" w:rsidP="0050121D">
      <w:pPr>
        <w:jc w:val="both"/>
        <w:rPr>
          <w:rFonts w:asciiTheme="minorHAnsi" w:hAnsiTheme="minorHAnsi" w:cs="Tahoma"/>
          <w:sz w:val="23"/>
          <w:szCs w:val="23"/>
        </w:rPr>
      </w:pPr>
    </w:p>
    <w:p w14:paraId="4FBCFEF2" w14:textId="77777777" w:rsidR="0050121D" w:rsidRPr="00D4229D" w:rsidRDefault="0050121D" w:rsidP="00FC3832">
      <w:pPr>
        <w:jc w:val="both"/>
        <w:rPr>
          <w:rFonts w:asciiTheme="minorHAnsi" w:hAnsiTheme="minorHAnsi" w:cs="Tahoma"/>
          <w:sz w:val="23"/>
          <w:szCs w:val="23"/>
        </w:rPr>
      </w:pPr>
      <w:r w:rsidRPr="002D6EA2">
        <w:rPr>
          <w:rFonts w:asciiTheme="minorHAnsi" w:hAnsiTheme="minorHAnsi" w:cs="Tahoma"/>
          <w:sz w:val="23"/>
          <w:szCs w:val="23"/>
        </w:rPr>
        <w:lastRenderedPageBreak/>
        <w:t>Genel Kurul toplantısı, Türk Ticaret Kanunu, Sermaye Piyasası Kanunu düzenlemeleri ve Şirket ana sözleşmesi çerçevesinde yapılacaktır.</w:t>
      </w:r>
      <w:r>
        <w:rPr>
          <w:rFonts w:asciiTheme="minorHAnsi" w:hAnsiTheme="minorHAnsi" w:cs="Tahoma"/>
          <w:sz w:val="23"/>
          <w:szCs w:val="23"/>
        </w:rPr>
        <w:t xml:space="preserve"> </w:t>
      </w:r>
      <w:r w:rsidRPr="00666940">
        <w:rPr>
          <w:rFonts w:asciiTheme="minorHAnsi" w:hAnsiTheme="minorHAnsi" w:cs="Tahoma"/>
          <w:sz w:val="23"/>
          <w:szCs w:val="23"/>
        </w:rPr>
        <w:t>Toplantıya, kendi adına kayıtlı en az bir hisseye sahip olanlar, fiziki veya elektronik ortamda, bizzat veya vekalet vermek suretiyle katılabilirler.</w:t>
      </w:r>
      <w:r>
        <w:rPr>
          <w:rFonts w:asciiTheme="minorHAnsi" w:hAnsiTheme="minorHAnsi" w:cs="Tahoma"/>
          <w:sz w:val="23"/>
          <w:szCs w:val="23"/>
        </w:rPr>
        <w:t xml:space="preserve"> </w:t>
      </w:r>
      <w:r w:rsidRPr="00666940">
        <w:rPr>
          <w:rFonts w:asciiTheme="minorHAnsi" w:hAnsiTheme="minorHAnsi" w:cstheme="minorHAnsi"/>
          <w:sz w:val="23"/>
          <w:szCs w:val="23"/>
        </w:rPr>
        <w:t>Toplantıya fiziken katılmak isteyen Sayın Ortaklarımızın veya vekillerinin toplantı gününde, kimlik kontrollerinin yapılabilmesi için toplantı saatinden en az bir saat öncesine kadar toplantıya teşrifleri rica olunur.</w:t>
      </w:r>
    </w:p>
    <w:p w14:paraId="208D6CF9" w14:textId="77777777" w:rsidR="0050121D" w:rsidRDefault="0050121D" w:rsidP="00650AC1">
      <w:pPr>
        <w:jc w:val="both"/>
        <w:rPr>
          <w:rFonts w:asciiTheme="minorHAnsi" w:hAnsiTheme="minorHAnsi" w:cs="Tahoma"/>
          <w:sz w:val="23"/>
          <w:szCs w:val="23"/>
        </w:rPr>
      </w:pPr>
    </w:p>
    <w:p w14:paraId="6C9A44E0" w14:textId="77777777" w:rsidR="0050121D" w:rsidRDefault="0050121D" w:rsidP="0050121D">
      <w:pPr>
        <w:jc w:val="both"/>
        <w:rPr>
          <w:rFonts w:asciiTheme="minorHAnsi" w:hAnsiTheme="minorHAnsi" w:cs="Tahoma"/>
          <w:sz w:val="23"/>
          <w:szCs w:val="23"/>
        </w:rPr>
      </w:pPr>
      <w:r>
        <w:rPr>
          <w:rFonts w:asciiTheme="minorHAnsi" w:hAnsiTheme="minorHAnsi" w:cs="Tahoma"/>
          <w:sz w:val="23"/>
          <w:szCs w:val="23"/>
        </w:rPr>
        <w:t>Sermaye Piyasası Kanunu uyarınca nama yazılı olup borsada işlem gören paylar için Pay Sahiplerine ayrıca taahhütlü mektupla bildirim yapılmayacaktır.</w:t>
      </w:r>
    </w:p>
    <w:p w14:paraId="75513CF5" w14:textId="77777777" w:rsidR="0050121D" w:rsidRPr="00D4229D" w:rsidRDefault="0050121D" w:rsidP="00650AC1">
      <w:pPr>
        <w:jc w:val="both"/>
        <w:rPr>
          <w:rFonts w:asciiTheme="minorHAnsi" w:hAnsiTheme="minorHAnsi" w:cs="Tahoma"/>
          <w:sz w:val="23"/>
          <w:szCs w:val="23"/>
        </w:rPr>
      </w:pPr>
    </w:p>
    <w:p w14:paraId="489C7F4F" w14:textId="77777777" w:rsidR="00666940" w:rsidRPr="00666940" w:rsidRDefault="0050121D" w:rsidP="00666940">
      <w:pPr>
        <w:pStyle w:val="Default"/>
        <w:spacing w:line="276" w:lineRule="auto"/>
        <w:jc w:val="both"/>
        <w:rPr>
          <w:rFonts w:asciiTheme="minorHAnsi" w:hAnsiTheme="minorHAnsi" w:cstheme="minorHAnsi"/>
          <w:sz w:val="23"/>
          <w:szCs w:val="23"/>
        </w:rPr>
      </w:pPr>
      <w:r>
        <w:rPr>
          <w:rFonts w:asciiTheme="minorHAnsi" w:hAnsiTheme="minorHAnsi" w:cstheme="minorHAnsi"/>
          <w:sz w:val="23"/>
          <w:szCs w:val="23"/>
        </w:rPr>
        <w:t>Genel Kurul toplantımıza tüm hissedarlarımız davetlidir.</w:t>
      </w:r>
    </w:p>
    <w:p w14:paraId="36CCE0BA" w14:textId="77777777" w:rsidR="0050121D" w:rsidRDefault="0050121D" w:rsidP="00650AC1">
      <w:pPr>
        <w:jc w:val="both"/>
        <w:rPr>
          <w:rFonts w:asciiTheme="minorHAnsi" w:hAnsiTheme="minorHAnsi" w:cs="Tahoma"/>
          <w:sz w:val="23"/>
          <w:szCs w:val="23"/>
        </w:rPr>
      </w:pPr>
    </w:p>
    <w:p w14:paraId="6CD6100A" w14:textId="77777777" w:rsidR="00D32A4D" w:rsidRDefault="00650AC1" w:rsidP="00650AC1">
      <w:pPr>
        <w:jc w:val="both"/>
        <w:rPr>
          <w:rFonts w:asciiTheme="minorHAnsi" w:hAnsiTheme="minorHAnsi" w:cs="Tahoma"/>
          <w:sz w:val="23"/>
          <w:szCs w:val="23"/>
        </w:rPr>
        <w:sectPr w:rsidR="00D32A4D" w:rsidSect="00D32A4D">
          <w:headerReference w:type="even" r:id="rId9"/>
          <w:headerReference w:type="default" r:id="rId10"/>
          <w:pgSz w:w="11907" w:h="16840" w:code="9"/>
          <w:pgMar w:top="1134" w:right="1559" w:bottom="851" w:left="1134" w:header="720" w:footer="720" w:gutter="0"/>
          <w:cols w:space="720"/>
          <w:titlePg/>
          <w:docGrid w:linePitch="360"/>
        </w:sectPr>
      </w:pPr>
      <w:r w:rsidRPr="00D4229D">
        <w:rPr>
          <w:rFonts w:asciiTheme="minorHAnsi" w:hAnsiTheme="minorHAnsi" w:cs="Tahoma"/>
          <w:sz w:val="23"/>
          <w:szCs w:val="23"/>
        </w:rPr>
        <w:t>İŞ FİNANSAL KİRALAMA A.Ş. YÖNETİM KURULU</w:t>
      </w:r>
    </w:p>
    <w:p w14:paraId="17422CE2" w14:textId="5E199BB2" w:rsidR="00FC3832" w:rsidRPr="00FC3832" w:rsidRDefault="00FC3832" w:rsidP="00FC3832">
      <w:pPr>
        <w:ind w:left="567" w:right="283" w:hanging="567"/>
        <w:jc w:val="center"/>
        <w:rPr>
          <w:rFonts w:ascii="Tahoma" w:hAnsi="Tahoma" w:cs="Tahoma"/>
          <w:b/>
          <w:noProof/>
          <w:sz w:val="24"/>
          <w:szCs w:val="24"/>
          <w:lang w:eastAsia="tr-TR"/>
        </w:rPr>
      </w:pPr>
      <w:r w:rsidRPr="00FC3832">
        <w:rPr>
          <w:rFonts w:ascii="Tahoma" w:hAnsi="Tahoma" w:cs="Tahoma"/>
          <w:b/>
          <w:noProof/>
          <w:sz w:val="24"/>
          <w:szCs w:val="24"/>
          <w:lang w:eastAsia="tr-TR"/>
        </w:rPr>
        <w:lastRenderedPageBreak/>
        <w:t>İŞ FİNANSAL KİRALAMA ANONİM ŞİRKETİ’NİN 2</w:t>
      </w:r>
      <w:r w:rsidR="0065404E">
        <w:rPr>
          <w:rFonts w:ascii="Tahoma" w:hAnsi="Tahoma" w:cs="Tahoma"/>
          <w:b/>
          <w:noProof/>
          <w:sz w:val="24"/>
          <w:szCs w:val="24"/>
          <w:lang w:eastAsia="tr-TR"/>
        </w:rPr>
        <w:t>6</w:t>
      </w:r>
      <w:r w:rsidRPr="00FC3832">
        <w:rPr>
          <w:rFonts w:ascii="Tahoma" w:hAnsi="Tahoma" w:cs="Tahoma"/>
          <w:b/>
          <w:noProof/>
          <w:sz w:val="24"/>
          <w:szCs w:val="24"/>
          <w:lang w:eastAsia="tr-TR"/>
        </w:rPr>
        <w:t xml:space="preserve"> MART 202</w:t>
      </w:r>
      <w:r w:rsidR="0065404E">
        <w:rPr>
          <w:rFonts w:ascii="Tahoma" w:hAnsi="Tahoma" w:cs="Tahoma"/>
          <w:b/>
          <w:noProof/>
          <w:sz w:val="24"/>
          <w:szCs w:val="24"/>
          <w:lang w:eastAsia="tr-TR"/>
        </w:rPr>
        <w:t>6</w:t>
      </w:r>
      <w:r w:rsidRPr="00FC3832">
        <w:rPr>
          <w:rFonts w:ascii="Tahoma" w:hAnsi="Tahoma" w:cs="Tahoma"/>
          <w:b/>
          <w:noProof/>
          <w:sz w:val="24"/>
          <w:szCs w:val="24"/>
          <w:lang w:eastAsia="tr-TR"/>
        </w:rPr>
        <w:t xml:space="preserve"> TARİHİNDE YAPILACAK OLAN OLAĞAN GENEL KURUL TOPLANTISI’NA AİT</w:t>
      </w:r>
    </w:p>
    <w:p w14:paraId="593493B5" w14:textId="1776D821" w:rsidR="00FC3832" w:rsidRDefault="00FC3832" w:rsidP="00FC3832">
      <w:pPr>
        <w:pStyle w:val="GvdeMetni"/>
        <w:ind w:left="567" w:hanging="567"/>
        <w:jc w:val="center"/>
        <w:rPr>
          <w:rFonts w:ascii="Tahoma" w:hAnsi="Tahoma" w:cs="Tahoma"/>
          <w:b/>
          <w:sz w:val="24"/>
          <w:u w:val="single"/>
        </w:rPr>
      </w:pPr>
      <w:r w:rsidRPr="0065404E">
        <w:rPr>
          <w:rFonts w:ascii="Tahoma" w:hAnsi="Tahoma" w:cs="Tahoma"/>
          <w:b/>
          <w:sz w:val="24"/>
          <w:u w:val="single"/>
        </w:rPr>
        <w:t>G Ü N D E M</w:t>
      </w:r>
    </w:p>
    <w:p w14:paraId="454E2302" w14:textId="77777777" w:rsidR="0065404E" w:rsidRPr="0065404E" w:rsidRDefault="0065404E" w:rsidP="00FC3832">
      <w:pPr>
        <w:pStyle w:val="GvdeMetni"/>
        <w:ind w:left="567" w:hanging="567"/>
        <w:jc w:val="center"/>
        <w:rPr>
          <w:rFonts w:ascii="Tahoma" w:hAnsi="Tahoma" w:cs="Tahoma"/>
          <w:b/>
          <w:sz w:val="24"/>
          <w:u w:val="single"/>
        </w:rPr>
      </w:pPr>
    </w:p>
    <w:p w14:paraId="51137306" w14:textId="77777777" w:rsidR="00FC3832" w:rsidRDefault="00FC3832" w:rsidP="00FC3832">
      <w:pPr>
        <w:pStyle w:val="GvdeMetni"/>
        <w:ind w:left="567" w:hanging="567"/>
        <w:jc w:val="center"/>
        <w:rPr>
          <w:rFonts w:ascii="Tahoma" w:hAnsi="Tahoma" w:cs="Tahoma"/>
          <w:u w:val="single"/>
        </w:rPr>
      </w:pPr>
    </w:p>
    <w:p w14:paraId="2AAD5A92" w14:textId="77777777" w:rsidR="003B457B" w:rsidRDefault="003B457B" w:rsidP="003B457B">
      <w:pPr>
        <w:pStyle w:val="ListeParagraf"/>
        <w:numPr>
          <w:ilvl w:val="0"/>
          <w:numId w:val="1"/>
        </w:numPr>
        <w:ind w:left="567" w:right="708" w:hanging="567"/>
        <w:jc w:val="both"/>
        <w:rPr>
          <w:rFonts w:ascii="Tahoma" w:hAnsi="Tahoma" w:cs="Tahoma"/>
          <w:sz w:val="22"/>
          <w:szCs w:val="22"/>
        </w:rPr>
      </w:pPr>
      <w:r w:rsidRPr="002C1781">
        <w:rPr>
          <w:rFonts w:ascii="Tahoma" w:hAnsi="Tahoma" w:cs="Tahoma"/>
          <w:sz w:val="22"/>
          <w:szCs w:val="22"/>
        </w:rPr>
        <w:t xml:space="preserve">Açılış ve Toplantı Başkanlığı’nın oluşturulması, </w:t>
      </w:r>
    </w:p>
    <w:p w14:paraId="57785E91" w14:textId="77777777" w:rsidR="003B457B" w:rsidRPr="002C1781" w:rsidRDefault="003B457B" w:rsidP="003B457B">
      <w:pPr>
        <w:pStyle w:val="ListeParagraf"/>
        <w:ind w:left="567" w:right="708" w:hanging="567"/>
        <w:jc w:val="both"/>
        <w:rPr>
          <w:rFonts w:ascii="Tahoma" w:hAnsi="Tahoma" w:cs="Tahoma"/>
          <w:sz w:val="22"/>
          <w:szCs w:val="22"/>
        </w:rPr>
      </w:pPr>
    </w:p>
    <w:p w14:paraId="3FD0BE1D" w14:textId="77777777" w:rsidR="003B457B" w:rsidRPr="002C1781" w:rsidRDefault="003B457B" w:rsidP="003B457B">
      <w:pPr>
        <w:pStyle w:val="ListeParagraf"/>
        <w:numPr>
          <w:ilvl w:val="0"/>
          <w:numId w:val="1"/>
        </w:numPr>
        <w:ind w:left="567" w:right="708" w:hanging="567"/>
        <w:jc w:val="both"/>
        <w:rPr>
          <w:rFonts w:ascii="Tahoma" w:hAnsi="Tahoma" w:cs="Tahoma"/>
          <w:sz w:val="22"/>
          <w:szCs w:val="22"/>
        </w:rPr>
      </w:pPr>
      <w:r w:rsidRPr="002C1781">
        <w:rPr>
          <w:rFonts w:ascii="Tahoma" w:hAnsi="Tahoma" w:cs="Tahoma"/>
          <w:sz w:val="22"/>
          <w:szCs w:val="22"/>
        </w:rPr>
        <w:t>20</w:t>
      </w:r>
      <w:r>
        <w:rPr>
          <w:rFonts w:ascii="Tahoma" w:hAnsi="Tahoma" w:cs="Tahoma"/>
          <w:sz w:val="22"/>
          <w:szCs w:val="22"/>
        </w:rPr>
        <w:t>25</w:t>
      </w:r>
      <w:r w:rsidRPr="002C1781">
        <w:rPr>
          <w:rFonts w:ascii="Tahoma" w:hAnsi="Tahoma" w:cs="Tahoma"/>
          <w:sz w:val="22"/>
          <w:szCs w:val="22"/>
        </w:rPr>
        <w:t xml:space="preserve"> yılı faaliyetleri hakkında Yönetim Kurulu Faaliyet Raporu, Kurumsal Yönetim İlkelerine Uyum Beyanı ve Bağımsız Denetçi Raporu</w:t>
      </w:r>
      <w:r>
        <w:rPr>
          <w:rFonts w:ascii="Tahoma" w:hAnsi="Tahoma" w:cs="Tahoma"/>
          <w:sz w:val="22"/>
          <w:szCs w:val="22"/>
        </w:rPr>
        <w:t xml:space="preserve">’nun </w:t>
      </w:r>
      <w:r w:rsidRPr="002C1781">
        <w:rPr>
          <w:rFonts w:ascii="Tahoma" w:hAnsi="Tahoma" w:cs="Tahoma"/>
          <w:sz w:val="22"/>
          <w:szCs w:val="22"/>
        </w:rPr>
        <w:t>okunması ve müzakeresi,</w:t>
      </w:r>
    </w:p>
    <w:p w14:paraId="461A256B" w14:textId="77777777" w:rsidR="003B457B" w:rsidRPr="002C1781" w:rsidRDefault="003B457B" w:rsidP="003B457B">
      <w:pPr>
        <w:pStyle w:val="ListeParagraf"/>
        <w:ind w:left="567" w:right="708" w:hanging="567"/>
        <w:jc w:val="both"/>
        <w:rPr>
          <w:rFonts w:ascii="Tahoma" w:hAnsi="Tahoma" w:cs="Tahoma"/>
          <w:sz w:val="22"/>
          <w:szCs w:val="22"/>
        </w:rPr>
      </w:pPr>
    </w:p>
    <w:p w14:paraId="741A4D43" w14:textId="77777777" w:rsidR="003B457B" w:rsidRDefault="003B457B" w:rsidP="003B457B">
      <w:pPr>
        <w:pStyle w:val="ListeParagraf"/>
        <w:numPr>
          <w:ilvl w:val="0"/>
          <w:numId w:val="1"/>
        </w:numPr>
        <w:ind w:left="567" w:right="708" w:hanging="567"/>
        <w:jc w:val="both"/>
        <w:rPr>
          <w:rFonts w:ascii="Tahoma" w:hAnsi="Tahoma" w:cs="Tahoma"/>
          <w:sz w:val="22"/>
          <w:szCs w:val="22"/>
        </w:rPr>
      </w:pPr>
      <w:r w:rsidRPr="002C1781">
        <w:rPr>
          <w:rFonts w:ascii="Tahoma" w:hAnsi="Tahoma" w:cs="Tahoma"/>
          <w:sz w:val="22"/>
          <w:szCs w:val="22"/>
        </w:rPr>
        <w:t>20</w:t>
      </w:r>
      <w:r>
        <w:rPr>
          <w:rFonts w:ascii="Tahoma" w:hAnsi="Tahoma" w:cs="Tahoma"/>
          <w:sz w:val="22"/>
          <w:szCs w:val="22"/>
        </w:rPr>
        <w:t>25</w:t>
      </w:r>
      <w:r w:rsidRPr="002C1781">
        <w:rPr>
          <w:rFonts w:ascii="Tahoma" w:hAnsi="Tahoma" w:cs="Tahoma"/>
          <w:sz w:val="22"/>
          <w:szCs w:val="22"/>
        </w:rPr>
        <w:t xml:space="preserve"> yılı Finansal Tablolarının okunması, müzakeresi ve onaylanması, </w:t>
      </w:r>
    </w:p>
    <w:p w14:paraId="301309EA" w14:textId="77777777" w:rsidR="003B457B" w:rsidRPr="00FE0A27" w:rsidRDefault="003B457B" w:rsidP="003B457B">
      <w:pPr>
        <w:pStyle w:val="ListeParagraf"/>
        <w:rPr>
          <w:rFonts w:ascii="Tahoma" w:hAnsi="Tahoma" w:cs="Tahoma"/>
          <w:sz w:val="22"/>
          <w:szCs w:val="22"/>
        </w:rPr>
      </w:pPr>
    </w:p>
    <w:p w14:paraId="6570122C" w14:textId="77777777" w:rsidR="003B457B" w:rsidRPr="004B1585" w:rsidRDefault="003B457B" w:rsidP="003B457B">
      <w:pPr>
        <w:pStyle w:val="ListeParagraf"/>
        <w:numPr>
          <w:ilvl w:val="0"/>
          <w:numId w:val="1"/>
        </w:numPr>
        <w:ind w:left="567" w:right="708" w:hanging="567"/>
        <w:jc w:val="both"/>
        <w:rPr>
          <w:rFonts w:ascii="Tahoma" w:hAnsi="Tahoma" w:cs="Tahoma"/>
          <w:sz w:val="22"/>
          <w:szCs w:val="22"/>
        </w:rPr>
      </w:pPr>
      <w:r w:rsidRPr="004B1585">
        <w:rPr>
          <w:rFonts w:ascii="Tahoma" w:hAnsi="Tahoma" w:cs="Tahoma"/>
          <w:sz w:val="22"/>
          <w:szCs w:val="22"/>
        </w:rPr>
        <w:t>2024 yılı Türkiye Sürdürülebilirlik Raporlama Standartları Uyumlu Sürdürülebilirlik Raporu’nun müzakeresi ve onaylanması,</w:t>
      </w:r>
      <w:r w:rsidRPr="004B1585">
        <w:rPr>
          <w:rFonts w:ascii="Tahoma" w:hAnsi="Tahoma" w:cs="Tahoma"/>
          <w:sz w:val="22"/>
          <w:szCs w:val="22"/>
        </w:rPr>
        <w:tab/>
      </w:r>
    </w:p>
    <w:p w14:paraId="17761CB8" w14:textId="77777777" w:rsidR="003B457B" w:rsidRPr="004B1585" w:rsidRDefault="003B457B" w:rsidP="003B457B">
      <w:pPr>
        <w:pStyle w:val="ListeParagraf"/>
        <w:ind w:left="567" w:hanging="567"/>
        <w:rPr>
          <w:rFonts w:ascii="Tahoma" w:hAnsi="Tahoma" w:cs="Tahoma"/>
          <w:sz w:val="22"/>
          <w:szCs w:val="22"/>
        </w:rPr>
      </w:pPr>
    </w:p>
    <w:p w14:paraId="2938868D" w14:textId="77777777" w:rsidR="003B457B" w:rsidRPr="004B1585" w:rsidRDefault="003B457B" w:rsidP="003B457B">
      <w:pPr>
        <w:pStyle w:val="ListeParagraf"/>
        <w:numPr>
          <w:ilvl w:val="0"/>
          <w:numId w:val="1"/>
        </w:numPr>
        <w:ind w:left="567" w:right="708" w:hanging="567"/>
        <w:jc w:val="both"/>
        <w:rPr>
          <w:rFonts w:ascii="Tahoma" w:hAnsi="Tahoma" w:cs="Tahoma"/>
          <w:sz w:val="22"/>
          <w:szCs w:val="22"/>
        </w:rPr>
      </w:pPr>
      <w:r w:rsidRPr="004B1585">
        <w:rPr>
          <w:rFonts w:ascii="Tahoma" w:hAnsi="Tahoma" w:cs="Tahoma"/>
          <w:sz w:val="22"/>
          <w:szCs w:val="22"/>
        </w:rPr>
        <w:t>Yönetim Kurulu Üyelerinin ibrası,</w:t>
      </w:r>
    </w:p>
    <w:p w14:paraId="788EA28A" w14:textId="77777777" w:rsidR="003B457B" w:rsidRPr="004B1585" w:rsidRDefault="003B457B" w:rsidP="003B457B">
      <w:pPr>
        <w:pStyle w:val="ListeParagraf"/>
        <w:rPr>
          <w:rFonts w:ascii="Tahoma" w:hAnsi="Tahoma" w:cs="Tahoma"/>
          <w:sz w:val="22"/>
          <w:szCs w:val="22"/>
        </w:rPr>
      </w:pPr>
    </w:p>
    <w:p w14:paraId="12FE87BD" w14:textId="77777777" w:rsidR="003B457B" w:rsidRDefault="003B457B" w:rsidP="003B457B">
      <w:pPr>
        <w:pStyle w:val="ListeParagraf"/>
        <w:numPr>
          <w:ilvl w:val="0"/>
          <w:numId w:val="1"/>
        </w:numPr>
        <w:ind w:left="567" w:right="708" w:hanging="567"/>
        <w:jc w:val="both"/>
        <w:rPr>
          <w:rFonts w:ascii="Tahoma" w:hAnsi="Tahoma" w:cs="Tahoma"/>
          <w:sz w:val="22"/>
          <w:szCs w:val="22"/>
        </w:rPr>
      </w:pPr>
      <w:r w:rsidRPr="004B1585">
        <w:rPr>
          <w:rFonts w:ascii="Tahoma" w:hAnsi="Tahoma" w:cs="Tahoma"/>
          <w:sz w:val="22"/>
          <w:szCs w:val="22"/>
        </w:rPr>
        <w:t xml:space="preserve">Yönetim Kurulu tarafından hazırlanan Kar Dağıtımı Önerisinin görüşülmesi ve karara bağlanması, </w:t>
      </w:r>
    </w:p>
    <w:p w14:paraId="49AA1E06" w14:textId="77777777" w:rsidR="003B457B" w:rsidRPr="004B1585" w:rsidRDefault="003B457B" w:rsidP="003B457B">
      <w:pPr>
        <w:pStyle w:val="ListeParagraf"/>
        <w:rPr>
          <w:rFonts w:ascii="Tahoma" w:hAnsi="Tahoma" w:cs="Tahoma"/>
          <w:sz w:val="22"/>
          <w:szCs w:val="22"/>
        </w:rPr>
      </w:pPr>
    </w:p>
    <w:p w14:paraId="1E4EA725" w14:textId="5D9F46BD" w:rsidR="003B457B" w:rsidRPr="002C1781" w:rsidRDefault="003B457B" w:rsidP="003B457B">
      <w:pPr>
        <w:pStyle w:val="ListeParagraf"/>
        <w:numPr>
          <w:ilvl w:val="0"/>
          <w:numId w:val="1"/>
        </w:numPr>
        <w:ind w:left="567" w:right="708" w:hanging="567"/>
        <w:jc w:val="both"/>
        <w:rPr>
          <w:rFonts w:ascii="Tahoma" w:hAnsi="Tahoma" w:cs="Tahoma"/>
          <w:sz w:val="22"/>
          <w:szCs w:val="22"/>
        </w:rPr>
      </w:pPr>
      <w:r w:rsidRPr="0028177C">
        <w:rPr>
          <w:rFonts w:ascii="Tahoma" w:hAnsi="Tahoma" w:cs="Tahoma"/>
          <w:sz w:val="22"/>
          <w:szCs w:val="22"/>
        </w:rPr>
        <w:t xml:space="preserve">Tescil edilmiş mevcut </w:t>
      </w:r>
      <w:r w:rsidR="00801611">
        <w:rPr>
          <w:rFonts w:ascii="Tahoma" w:hAnsi="Tahoma" w:cs="Tahoma"/>
          <w:sz w:val="22"/>
          <w:szCs w:val="22"/>
        </w:rPr>
        <w:t xml:space="preserve">Ana </w:t>
      </w:r>
      <w:proofErr w:type="spellStart"/>
      <w:r w:rsidR="00801611">
        <w:rPr>
          <w:rFonts w:ascii="Tahoma" w:hAnsi="Tahoma" w:cs="Tahoma"/>
          <w:sz w:val="22"/>
          <w:szCs w:val="22"/>
        </w:rPr>
        <w:t>Sözleşme’ye</w:t>
      </w:r>
      <w:proofErr w:type="spellEnd"/>
      <w:r w:rsidR="00801611">
        <w:rPr>
          <w:rFonts w:ascii="Tahoma" w:hAnsi="Tahoma" w:cs="Tahoma"/>
          <w:sz w:val="22"/>
          <w:szCs w:val="22"/>
        </w:rPr>
        <w:t xml:space="preserve"> </w:t>
      </w:r>
      <w:r w:rsidRPr="004B1585">
        <w:rPr>
          <w:rFonts w:ascii="Tahoma" w:hAnsi="Tahoma" w:cs="Tahoma"/>
          <w:sz w:val="22"/>
          <w:szCs w:val="22"/>
        </w:rPr>
        <w:t>göre ve alınacak onaylara bağlı olmak üzere Yönetim Kurulu Üyelerinin seçimi ve görev sürelerinin tespiti, üyelerin</w:t>
      </w:r>
      <w:r w:rsidRPr="0028177C">
        <w:rPr>
          <w:rFonts w:ascii="Tahoma" w:hAnsi="Tahoma" w:cs="Tahoma"/>
          <w:sz w:val="22"/>
          <w:szCs w:val="22"/>
        </w:rPr>
        <w:t xml:space="preserve"> şirket dışında aldığı görevler ve gerekçe</w:t>
      </w:r>
      <w:r>
        <w:rPr>
          <w:rFonts w:ascii="Tahoma" w:hAnsi="Tahoma" w:cs="Tahoma"/>
          <w:sz w:val="22"/>
          <w:szCs w:val="22"/>
        </w:rPr>
        <w:t>ler</w:t>
      </w:r>
      <w:r w:rsidRPr="0028177C">
        <w:rPr>
          <w:rFonts w:ascii="Tahoma" w:hAnsi="Tahoma" w:cs="Tahoma"/>
          <w:sz w:val="22"/>
          <w:szCs w:val="22"/>
        </w:rPr>
        <w:t>inin pay sahiplerinin bilgisine sunulması</w:t>
      </w:r>
      <w:r>
        <w:rPr>
          <w:rFonts w:ascii="Tahoma" w:hAnsi="Tahoma" w:cs="Tahoma"/>
          <w:sz w:val="22"/>
          <w:szCs w:val="22"/>
        </w:rPr>
        <w:t>,</w:t>
      </w:r>
    </w:p>
    <w:p w14:paraId="4A6EFD8C" w14:textId="77777777" w:rsidR="003B457B" w:rsidRPr="002C1781" w:rsidRDefault="003B457B" w:rsidP="003B457B">
      <w:pPr>
        <w:pStyle w:val="ListeParagraf"/>
        <w:ind w:left="567" w:hanging="567"/>
        <w:rPr>
          <w:rFonts w:ascii="Tahoma" w:hAnsi="Tahoma" w:cs="Tahoma"/>
          <w:sz w:val="22"/>
          <w:szCs w:val="22"/>
        </w:rPr>
      </w:pPr>
    </w:p>
    <w:p w14:paraId="1F01CC29" w14:textId="77777777" w:rsidR="003B457B" w:rsidRPr="002C1781" w:rsidRDefault="003B457B" w:rsidP="003B457B">
      <w:pPr>
        <w:pStyle w:val="ListeParagraf"/>
        <w:numPr>
          <w:ilvl w:val="0"/>
          <w:numId w:val="1"/>
        </w:numPr>
        <w:ind w:left="567" w:right="708" w:hanging="567"/>
        <w:jc w:val="both"/>
        <w:rPr>
          <w:rFonts w:ascii="Tahoma" w:hAnsi="Tahoma" w:cs="Tahoma"/>
          <w:sz w:val="22"/>
          <w:szCs w:val="22"/>
        </w:rPr>
      </w:pPr>
      <w:r w:rsidRPr="002C1781">
        <w:rPr>
          <w:rFonts w:ascii="Tahoma" w:hAnsi="Tahoma" w:cs="Tahoma"/>
          <w:sz w:val="22"/>
          <w:szCs w:val="22"/>
        </w:rPr>
        <w:t xml:space="preserve">Yönetim Kurulu Üyelerinin ücretlerinin belirlenmesi, </w:t>
      </w:r>
    </w:p>
    <w:p w14:paraId="230214BE" w14:textId="77777777" w:rsidR="003B457B" w:rsidRPr="002C1781" w:rsidRDefault="003B457B" w:rsidP="003B457B">
      <w:pPr>
        <w:pStyle w:val="ListeParagraf"/>
        <w:ind w:left="567" w:hanging="567"/>
        <w:rPr>
          <w:rFonts w:ascii="Tahoma" w:hAnsi="Tahoma" w:cs="Tahoma"/>
          <w:sz w:val="22"/>
          <w:szCs w:val="22"/>
        </w:rPr>
      </w:pPr>
    </w:p>
    <w:p w14:paraId="21E27A51" w14:textId="77777777" w:rsidR="003B457B" w:rsidRDefault="003B457B" w:rsidP="003B457B">
      <w:pPr>
        <w:pStyle w:val="ListeParagraf"/>
        <w:numPr>
          <w:ilvl w:val="0"/>
          <w:numId w:val="1"/>
        </w:numPr>
        <w:ind w:left="567" w:right="708" w:hanging="567"/>
        <w:jc w:val="both"/>
        <w:rPr>
          <w:rFonts w:ascii="Tahoma" w:hAnsi="Tahoma" w:cs="Tahoma"/>
          <w:sz w:val="22"/>
          <w:szCs w:val="22"/>
        </w:rPr>
      </w:pPr>
      <w:r w:rsidRPr="002C1781">
        <w:rPr>
          <w:rFonts w:ascii="Tahoma" w:hAnsi="Tahoma" w:cs="Tahoma"/>
          <w:sz w:val="22"/>
          <w:szCs w:val="22"/>
        </w:rPr>
        <w:t>Türk Ticaret Kanunu’nun 395. ve 396. maddelerinde yazılı muameleleri yapabilmeleri için ilgili mevzuatta belirtilen kişilere izin verilmesi,</w:t>
      </w:r>
      <w:r>
        <w:rPr>
          <w:rFonts w:ascii="Tahoma" w:hAnsi="Tahoma" w:cs="Tahoma"/>
          <w:sz w:val="22"/>
          <w:szCs w:val="22"/>
        </w:rPr>
        <w:t xml:space="preserve"> </w:t>
      </w:r>
    </w:p>
    <w:p w14:paraId="087B3F3C" w14:textId="77777777" w:rsidR="003B457B" w:rsidRPr="00EB4CB3" w:rsidRDefault="003B457B" w:rsidP="003B457B">
      <w:pPr>
        <w:pStyle w:val="ListeParagraf"/>
        <w:rPr>
          <w:rFonts w:ascii="Tahoma" w:hAnsi="Tahoma" w:cs="Tahoma"/>
          <w:sz w:val="22"/>
          <w:szCs w:val="22"/>
        </w:rPr>
      </w:pPr>
    </w:p>
    <w:p w14:paraId="7B35910C" w14:textId="77777777" w:rsidR="003B457B" w:rsidRPr="002C1781" w:rsidRDefault="003B457B" w:rsidP="003B457B">
      <w:pPr>
        <w:pStyle w:val="ListeParagraf"/>
        <w:numPr>
          <w:ilvl w:val="0"/>
          <w:numId w:val="1"/>
        </w:numPr>
        <w:ind w:left="567" w:right="708" w:hanging="567"/>
        <w:jc w:val="both"/>
        <w:rPr>
          <w:rFonts w:ascii="Tahoma" w:hAnsi="Tahoma" w:cs="Tahoma"/>
          <w:sz w:val="22"/>
          <w:szCs w:val="22"/>
        </w:rPr>
      </w:pPr>
      <w:r>
        <w:rPr>
          <w:rFonts w:ascii="Tahoma" w:hAnsi="Tahoma" w:cs="Tahoma"/>
          <w:sz w:val="22"/>
          <w:szCs w:val="22"/>
        </w:rPr>
        <w:t xml:space="preserve">Sermaye Piyasası Kurulu Kurumsal Yönetim </w:t>
      </w:r>
      <w:r w:rsidRPr="00861200">
        <w:rPr>
          <w:rFonts w:ascii="Tahoma" w:hAnsi="Tahoma" w:cs="Tahoma"/>
          <w:sz w:val="22"/>
          <w:szCs w:val="22"/>
        </w:rPr>
        <w:t>İlkeleri’nin 1.3.</w:t>
      </w:r>
      <w:r>
        <w:rPr>
          <w:rFonts w:ascii="Tahoma" w:hAnsi="Tahoma" w:cs="Tahoma"/>
          <w:sz w:val="22"/>
          <w:szCs w:val="22"/>
        </w:rPr>
        <w:t>6.</w:t>
      </w:r>
      <w:r w:rsidRPr="00861200">
        <w:rPr>
          <w:rFonts w:ascii="Tahoma" w:hAnsi="Tahoma" w:cs="Tahoma"/>
          <w:sz w:val="22"/>
          <w:szCs w:val="22"/>
        </w:rPr>
        <w:t xml:space="preserve"> maddesinde yazılı muameleler</w:t>
      </w:r>
      <w:r>
        <w:rPr>
          <w:rFonts w:ascii="Tahoma" w:hAnsi="Tahoma" w:cs="Tahoma"/>
          <w:sz w:val="22"/>
          <w:szCs w:val="22"/>
        </w:rPr>
        <w:t xml:space="preserve"> hakkında Genel Kurul’a bilgi verilmesi,</w:t>
      </w:r>
    </w:p>
    <w:p w14:paraId="510A78A9" w14:textId="77777777" w:rsidR="003B457B" w:rsidRPr="002C1781" w:rsidRDefault="003B457B" w:rsidP="003B457B">
      <w:pPr>
        <w:pStyle w:val="ListeParagraf"/>
        <w:ind w:left="567" w:right="708" w:hanging="567"/>
        <w:jc w:val="both"/>
        <w:rPr>
          <w:rFonts w:ascii="Tahoma" w:hAnsi="Tahoma" w:cs="Tahoma"/>
          <w:sz w:val="22"/>
          <w:szCs w:val="22"/>
        </w:rPr>
      </w:pPr>
    </w:p>
    <w:p w14:paraId="19C3DC9D" w14:textId="77777777" w:rsidR="003B457B" w:rsidRDefault="003B457B" w:rsidP="003B457B">
      <w:pPr>
        <w:pStyle w:val="ListeParagraf"/>
        <w:numPr>
          <w:ilvl w:val="0"/>
          <w:numId w:val="1"/>
        </w:numPr>
        <w:ind w:left="567" w:right="708" w:hanging="567"/>
        <w:jc w:val="both"/>
        <w:rPr>
          <w:rFonts w:ascii="Tahoma" w:hAnsi="Tahoma" w:cs="Tahoma"/>
          <w:sz w:val="22"/>
          <w:szCs w:val="22"/>
        </w:rPr>
      </w:pPr>
      <w:r>
        <w:rPr>
          <w:rFonts w:ascii="Tahoma" w:hAnsi="Tahoma" w:cs="Tahoma"/>
          <w:sz w:val="22"/>
          <w:szCs w:val="22"/>
        </w:rPr>
        <w:t>B</w:t>
      </w:r>
      <w:r w:rsidRPr="002C1781">
        <w:rPr>
          <w:rFonts w:ascii="Tahoma" w:hAnsi="Tahoma" w:cs="Tahoma"/>
          <w:sz w:val="22"/>
          <w:szCs w:val="22"/>
        </w:rPr>
        <w:t xml:space="preserve">ağımsız </w:t>
      </w:r>
      <w:r>
        <w:rPr>
          <w:rFonts w:ascii="Tahoma" w:hAnsi="Tahoma" w:cs="Tahoma"/>
          <w:sz w:val="22"/>
          <w:szCs w:val="22"/>
        </w:rPr>
        <w:t>D</w:t>
      </w:r>
      <w:r w:rsidRPr="002C1781">
        <w:rPr>
          <w:rFonts w:ascii="Tahoma" w:hAnsi="Tahoma" w:cs="Tahoma"/>
          <w:sz w:val="22"/>
          <w:szCs w:val="22"/>
        </w:rPr>
        <w:t xml:space="preserve">enetim </w:t>
      </w:r>
      <w:r>
        <w:rPr>
          <w:rFonts w:ascii="Tahoma" w:hAnsi="Tahoma" w:cs="Tahoma"/>
          <w:sz w:val="22"/>
          <w:szCs w:val="22"/>
        </w:rPr>
        <w:t>K</w:t>
      </w:r>
      <w:r w:rsidRPr="002C1781">
        <w:rPr>
          <w:rFonts w:ascii="Tahoma" w:hAnsi="Tahoma" w:cs="Tahoma"/>
          <w:sz w:val="22"/>
          <w:szCs w:val="22"/>
        </w:rPr>
        <w:t>uruluşunun seçimi,</w:t>
      </w:r>
    </w:p>
    <w:p w14:paraId="09F3381F" w14:textId="77777777" w:rsidR="003B457B" w:rsidRPr="00102763" w:rsidRDefault="003B457B" w:rsidP="003B457B">
      <w:pPr>
        <w:pStyle w:val="ListeParagraf"/>
        <w:rPr>
          <w:rFonts w:ascii="Tahoma" w:hAnsi="Tahoma" w:cs="Tahoma"/>
          <w:sz w:val="22"/>
          <w:szCs w:val="22"/>
        </w:rPr>
      </w:pPr>
    </w:p>
    <w:p w14:paraId="52BCC2DF" w14:textId="77777777" w:rsidR="003B457B" w:rsidRPr="004B1585" w:rsidRDefault="003B457B" w:rsidP="003B457B">
      <w:pPr>
        <w:pStyle w:val="ListeParagraf"/>
        <w:numPr>
          <w:ilvl w:val="0"/>
          <w:numId w:val="1"/>
        </w:numPr>
        <w:ind w:left="567" w:right="708" w:hanging="567"/>
        <w:jc w:val="both"/>
        <w:rPr>
          <w:rFonts w:ascii="Tahoma" w:hAnsi="Tahoma" w:cs="Tahoma"/>
          <w:sz w:val="22"/>
          <w:szCs w:val="22"/>
        </w:rPr>
      </w:pPr>
      <w:r w:rsidRPr="004B1585">
        <w:rPr>
          <w:rFonts w:ascii="Tahoma" w:hAnsi="Tahoma" w:cs="Tahoma"/>
          <w:sz w:val="22"/>
          <w:szCs w:val="22"/>
        </w:rPr>
        <w:t>Şirketimizin Ana Sözleşmesi’nin 6. maddesinde değişiklik yapılması,</w:t>
      </w:r>
    </w:p>
    <w:p w14:paraId="2E8CB509" w14:textId="77777777" w:rsidR="003B457B" w:rsidRPr="0071783A" w:rsidRDefault="003B457B" w:rsidP="003B457B">
      <w:pPr>
        <w:pStyle w:val="ListeParagraf"/>
        <w:rPr>
          <w:rFonts w:ascii="Tahoma" w:hAnsi="Tahoma" w:cs="Tahoma"/>
          <w:sz w:val="22"/>
          <w:szCs w:val="22"/>
        </w:rPr>
      </w:pPr>
    </w:p>
    <w:p w14:paraId="6709F3CF" w14:textId="77777777" w:rsidR="003B457B" w:rsidRPr="002C1781" w:rsidRDefault="003B457B" w:rsidP="003B457B">
      <w:pPr>
        <w:pStyle w:val="ListeParagraf"/>
        <w:numPr>
          <w:ilvl w:val="0"/>
          <w:numId w:val="1"/>
        </w:numPr>
        <w:ind w:left="567" w:right="708" w:hanging="567"/>
        <w:jc w:val="both"/>
        <w:rPr>
          <w:rFonts w:ascii="Tahoma" w:hAnsi="Tahoma" w:cs="Tahoma"/>
          <w:sz w:val="22"/>
          <w:szCs w:val="22"/>
        </w:rPr>
      </w:pPr>
      <w:r w:rsidRPr="00206AE3">
        <w:rPr>
          <w:rFonts w:ascii="Tahoma" w:hAnsi="Tahoma" w:cs="Tahoma"/>
          <w:sz w:val="22"/>
          <w:szCs w:val="22"/>
        </w:rPr>
        <w:t>202</w:t>
      </w:r>
      <w:r>
        <w:rPr>
          <w:rFonts w:ascii="Tahoma" w:hAnsi="Tahoma" w:cs="Tahoma"/>
          <w:sz w:val="22"/>
          <w:szCs w:val="22"/>
        </w:rPr>
        <w:t>5</w:t>
      </w:r>
      <w:r w:rsidRPr="00206AE3">
        <w:rPr>
          <w:rFonts w:ascii="Tahoma" w:hAnsi="Tahoma" w:cs="Tahoma"/>
          <w:sz w:val="22"/>
          <w:szCs w:val="22"/>
        </w:rPr>
        <w:t xml:space="preserve"> yılı içinde yapılan bağışlar hakkında bilgi sunulması</w:t>
      </w:r>
      <w:r w:rsidRPr="002C1781">
        <w:rPr>
          <w:rFonts w:ascii="Tahoma" w:hAnsi="Tahoma" w:cs="Tahoma"/>
          <w:sz w:val="22"/>
          <w:szCs w:val="22"/>
        </w:rPr>
        <w:t>,</w:t>
      </w:r>
    </w:p>
    <w:p w14:paraId="03DB285D" w14:textId="77777777" w:rsidR="003B457B" w:rsidRPr="002C1781" w:rsidRDefault="003B457B" w:rsidP="003B457B">
      <w:pPr>
        <w:pStyle w:val="ListeParagraf"/>
        <w:ind w:left="567" w:hanging="567"/>
        <w:rPr>
          <w:rFonts w:ascii="Tahoma" w:hAnsi="Tahoma" w:cs="Tahoma"/>
          <w:sz w:val="22"/>
          <w:szCs w:val="22"/>
        </w:rPr>
      </w:pPr>
    </w:p>
    <w:p w14:paraId="41243C4A" w14:textId="5F69E52E" w:rsidR="00FC3832" w:rsidRPr="003B457B" w:rsidRDefault="003B457B" w:rsidP="009013F6">
      <w:pPr>
        <w:pStyle w:val="ListeParagraf"/>
        <w:numPr>
          <w:ilvl w:val="0"/>
          <w:numId w:val="1"/>
        </w:numPr>
        <w:ind w:left="567" w:right="708" w:hanging="567"/>
        <w:jc w:val="both"/>
        <w:rPr>
          <w:rFonts w:ascii="Tahoma" w:hAnsi="Tahoma" w:cs="Tahoma"/>
          <w:sz w:val="22"/>
          <w:szCs w:val="22"/>
        </w:rPr>
      </w:pPr>
      <w:r w:rsidRPr="003B457B">
        <w:rPr>
          <w:rFonts w:ascii="Tahoma" w:hAnsi="Tahoma" w:cs="Tahoma"/>
          <w:sz w:val="22"/>
          <w:szCs w:val="22"/>
        </w:rPr>
        <w:t>Sermaye Piyasası Kanunu’nun 19. maddesinin 5. fıkrası uyarınca Şirket tarafından 2026 yılında yapılacak bağışların üst sınırının belirlenmesi.</w:t>
      </w:r>
    </w:p>
    <w:p w14:paraId="2629B41B" w14:textId="77777777" w:rsidR="00FC3832" w:rsidRPr="002C1781" w:rsidRDefault="00FC3832" w:rsidP="00FC3832">
      <w:pPr>
        <w:pStyle w:val="ListeParagraf"/>
        <w:ind w:left="567" w:hanging="567"/>
        <w:rPr>
          <w:rFonts w:ascii="Tahoma" w:hAnsi="Tahoma" w:cs="Tahoma"/>
          <w:sz w:val="22"/>
          <w:szCs w:val="22"/>
        </w:rPr>
      </w:pPr>
    </w:p>
    <w:p w14:paraId="28EF45C1" w14:textId="77777777" w:rsidR="00FC3832" w:rsidRDefault="00FC3832" w:rsidP="00FC3832">
      <w:pPr>
        <w:ind w:right="708"/>
        <w:jc w:val="both"/>
        <w:rPr>
          <w:sz w:val="22"/>
          <w:szCs w:val="22"/>
        </w:rPr>
      </w:pPr>
    </w:p>
    <w:p w14:paraId="7E53BDB3" w14:textId="77777777" w:rsidR="00FC3832" w:rsidRDefault="00FC3832" w:rsidP="00FC3832">
      <w:pPr>
        <w:ind w:right="708"/>
        <w:jc w:val="both"/>
        <w:rPr>
          <w:sz w:val="22"/>
          <w:szCs w:val="22"/>
        </w:rPr>
      </w:pPr>
    </w:p>
    <w:p w14:paraId="6DA16BE5" w14:textId="77777777" w:rsidR="00FC3832" w:rsidRPr="0045556A" w:rsidRDefault="00FC3832" w:rsidP="00FC3832">
      <w:pPr>
        <w:ind w:right="708"/>
        <w:jc w:val="both"/>
        <w:rPr>
          <w:sz w:val="22"/>
          <w:szCs w:val="22"/>
        </w:rPr>
      </w:pPr>
    </w:p>
    <w:p w14:paraId="64B5115F" w14:textId="77777777" w:rsidR="00FC3832" w:rsidRPr="00275BE1" w:rsidRDefault="00FC3832" w:rsidP="00FC3832">
      <w:pPr>
        <w:ind w:left="567" w:hanging="567"/>
        <w:jc w:val="both"/>
        <w:rPr>
          <w:rFonts w:ascii="Tahoma" w:hAnsi="Tahoma" w:cs="Tahoma"/>
          <w:b/>
        </w:rPr>
      </w:pPr>
      <w:r w:rsidRPr="002C1781">
        <w:rPr>
          <w:rFonts w:ascii="Tahoma" w:hAnsi="Tahoma" w:cs="Tahoma"/>
          <w:b/>
        </w:rPr>
        <w:t xml:space="preserve">Toplantı </w:t>
      </w:r>
      <w:r w:rsidRPr="00275BE1">
        <w:rPr>
          <w:rFonts w:ascii="Tahoma" w:hAnsi="Tahoma" w:cs="Tahoma"/>
          <w:b/>
        </w:rPr>
        <w:t xml:space="preserve">Yeri  </w:t>
      </w:r>
      <w:proofErr w:type="gramStart"/>
      <w:r w:rsidRPr="00275BE1">
        <w:rPr>
          <w:rFonts w:ascii="Tahoma" w:hAnsi="Tahoma" w:cs="Tahoma"/>
          <w:b/>
        </w:rPr>
        <w:t xml:space="preserve"> </w:t>
      </w:r>
      <w:r>
        <w:rPr>
          <w:rFonts w:ascii="Tahoma" w:hAnsi="Tahoma" w:cs="Tahoma"/>
          <w:b/>
        </w:rPr>
        <w:t xml:space="preserve"> </w:t>
      </w:r>
      <w:r w:rsidRPr="00275BE1">
        <w:rPr>
          <w:rFonts w:ascii="Tahoma" w:hAnsi="Tahoma" w:cs="Tahoma"/>
          <w:b/>
        </w:rPr>
        <w:t>:</w:t>
      </w:r>
      <w:proofErr w:type="gramEnd"/>
      <w:r w:rsidRPr="00275BE1">
        <w:rPr>
          <w:rFonts w:ascii="Tahoma" w:hAnsi="Tahoma" w:cs="Tahoma"/>
          <w:b/>
        </w:rPr>
        <w:tab/>
      </w:r>
      <w:r w:rsidRPr="00275BE1">
        <w:rPr>
          <w:rFonts w:ascii="Tahoma" w:hAnsi="Tahoma" w:cs="Tahoma"/>
          <w:sz w:val="22"/>
          <w:szCs w:val="22"/>
        </w:rPr>
        <w:t>İş Kuleleri 34330 İş Bankası Oditoryum Binası</w:t>
      </w:r>
      <w:r w:rsidRPr="00275BE1">
        <w:rPr>
          <w:rFonts w:ascii="Arial" w:hAnsi="Arial" w:cs="Arial"/>
          <w:color w:val="545454"/>
          <w:shd w:val="clear" w:color="auto" w:fill="FFFFFF"/>
        </w:rPr>
        <w:t xml:space="preserve"> </w:t>
      </w:r>
      <w:r w:rsidRPr="00275BE1">
        <w:rPr>
          <w:rFonts w:ascii="Tahoma" w:hAnsi="Tahoma" w:cs="Tahoma"/>
          <w:sz w:val="22"/>
          <w:szCs w:val="22"/>
        </w:rPr>
        <w:t>4.</w:t>
      </w:r>
      <w:r>
        <w:rPr>
          <w:rFonts w:ascii="Tahoma" w:hAnsi="Tahoma" w:cs="Tahoma"/>
          <w:sz w:val="22"/>
          <w:szCs w:val="22"/>
        </w:rPr>
        <w:t xml:space="preserve"> </w:t>
      </w:r>
      <w:r w:rsidRPr="00275BE1">
        <w:rPr>
          <w:rFonts w:ascii="Tahoma" w:hAnsi="Tahoma" w:cs="Tahoma"/>
          <w:sz w:val="22"/>
          <w:szCs w:val="22"/>
        </w:rPr>
        <w:t>Levent-İstanbul</w:t>
      </w:r>
      <w:r w:rsidRPr="00275BE1">
        <w:rPr>
          <w:rFonts w:ascii="Tahoma" w:hAnsi="Tahoma" w:cs="Tahoma"/>
          <w:b/>
        </w:rPr>
        <w:t xml:space="preserve"> </w:t>
      </w:r>
    </w:p>
    <w:p w14:paraId="116859FB" w14:textId="648CD8B1" w:rsidR="00FC3832" w:rsidRPr="00226B4C" w:rsidRDefault="00FC3832" w:rsidP="00FC3832">
      <w:pPr>
        <w:ind w:left="567" w:hanging="567"/>
        <w:jc w:val="both"/>
        <w:rPr>
          <w:rFonts w:ascii="Tahoma" w:hAnsi="Tahoma" w:cs="Tahoma"/>
          <w:sz w:val="22"/>
          <w:szCs w:val="22"/>
        </w:rPr>
      </w:pPr>
      <w:r w:rsidRPr="00275BE1">
        <w:rPr>
          <w:rFonts w:ascii="Tahoma" w:hAnsi="Tahoma" w:cs="Tahoma"/>
          <w:b/>
        </w:rPr>
        <w:t xml:space="preserve">Toplantı </w:t>
      </w:r>
      <w:proofErr w:type="gramStart"/>
      <w:r w:rsidRPr="00275BE1">
        <w:rPr>
          <w:rFonts w:ascii="Tahoma" w:hAnsi="Tahoma" w:cs="Tahoma"/>
          <w:b/>
        </w:rPr>
        <w:t>Tarihi</w:t>
      </w:r>
      <w:r>
        <w:rPr>
          <w:rFonts w:ascii="Tahoma" w:hAnsi="Tahoma" w:cs="Tahoma"/>
          <w:b/>
        </w:rPr>
        <w:t xml:space="preserve"> </w:t>
      </w:r>
      <w:r w:rsidRPr="00275BE1">
        <w:rPr>
          <w:rFonts w:ascii="Tahoma" w:hAnsi="Tahoma" w:cs="Tahoma"/>
          <w:b/>
        </w:rPr>
        <w:t>:</w:t>
      </w:r>
      <w:proofErr w:type="gramEnd"/>
      <w:r w:rsidRPr="00275BE1">
        <w:rPr>
          <w:rFonts w:ascii="Tahoma" w:hAnsi="Tahoma" w:cs="Tahoma"/>
          <w:b/>
        </w:rPr>
        <w:t xml:space="preserve"> </w:t>
      </w:r>
      <w:r w:rsidRPr="00275BE1">
        <w:rPr>
          <w:rFonts w:ascii="Tahoma" w:hAnsi="Tahoma" w:cs="Tahoma"/>
          <w:b/>
        </w:rPr>
        <w:tab/>
      </w:r>
      <w:r w:rsidRPr="00226B4C">
        <w:rPr>
          <w:rFonts w:ascii="Tahoma" w:hAnsi="Tahoma" w:cs="Tahoma"/>
          <w:sz w:val="22"/>
          <w:szCs w:val="22"/>
        </w:rPr>
        <w:t>2</w:t>
      </w:r>
      <w:r w:rsidR="0065404E">
        <w:rPr>
          <w:rFonts w:ascii="Tahoma" w:hAnsi="Tahoma" w:cs="Tahoma"/>
          <w:sz w:val="22"/>
          <w:szCs w:val="22"/>
        </w:rPr>
        <w:t>6</w:t>
      </w:r>
      <w:r w:rsidRPr="00226B4C">
        <w:rPr>
          <w:rFonts w:ascii="Tahoma" w:hAnsi="Tahoma" w:cs="Tahoma"/>
          <w:sz w:val="22"/>
          <w:szCs w:val="22"/>
        </w:rPr>
        <w:t xml:space="preserve"> Mart 20</w:t>
      </w:r>
      <w:r>
        <w:rPr>
          <w:rFonts w:ascii="Tahoma" w:hAnsi="Tahoma" w:cs="Tahoma"/>
          <w:sz w:val="22"/>
          <w:szCs w:val="22"/>
        </w:rPr>
        <w:t>2</w:t>
      </w:r>
      <w:r w:rsidR="0065404E">
        <w:rPr>
          <w:rFonts w:ascii="Tahoma" w:hAnsi="Tahoma" w:cs="Tahoma"/>
          <w:sz w:val="22"/>
          <w:szCs w:val="22"/>
        </w:rPr>
        <w:t>6</w:t>
      </w:r>
      <w:r w:rsidRPr="00226B4C">
        <w:rPr>
          <w:rFonts w:ascii="Tahoma" w:hAnsi="Tahoma" w:cs="Tahoma"/>
          <w:sz w:val="22"/>
          <w:szCs w:val="22"/>
        </w:rPr>
        <w:t>, Saat 10:00</w:t>
      </w:r>
    </w:p>
    <w:p w14:paraId="6B50BE4F" w14:textId="77777777" w:rsidR="00FC3832" w:rsidRPr="00226B4C" w:rsidRDefault="00FC3832" w:rsidP="00FC3832">
      <w:pPr>
        <w:ind w:left="567" w:hanging="567"/>
        <w:jc w:val="both"/>
        <w:rPr>
          <w:rFonts w:ascii="Tahoma" w:hAnsi="Tahoma" w:cs="Tahoma"/>
          <w:sz w:val="22"/>
          <w:szCs w:val="22"/>
        </w:rPr>
      </w:pPr>
    </w:p>
    <w:p w14:paraId="13A1CB85" w14:textId="77777777" w:rsidR="00FC3832" w:rsidRPr="009E3A4D" w:rsidRDefault="00FC3832" w:rsidP="00FC3832">
      <w:pPr>
        <w:ind w:left="567" w:hanging="567"/>
        <w:jc w:val="center"/>
        <w:rPr>
          <w:rFonts w:ascii="Tahoma" w:hAnsi="Tahoma" w:cs="Tahoma"/>
          <w:b/>
        </w:rPr>
        <w:sectPr w:rsidR="00FC3832" w:rsidRPr="009E3A4D" w:rsidSect="002E08D7">
          <w:pgSz w:w="11906" w:h="16838"/>
          <w:pgMar w:top="851" w:right="707" w:bottom="1417" w:left="1417" w:header="708" w:footer="708" w:gutter="0"/>
          <w:cols w:space="708"/>
          <w:docGrid w:linePitch="360"/>
        </w:sectPr>
      </w:pPr>
    </w:p>
    <w:p w14:paraId="410979AB" w14:textId="77777777" w:rsidR="00FC3832" w:rsidRPr="00EB7C3D" w:rsidRDefault="00FC3832" w:rsidP="00FC3832">
      <w:pPr>
        <w:jc w:val="both"/>
        <w:rPr>
          <w:rFonts w:ascii="Tahoma" w:hAnsi="Tahoma" w:cs="Tahoma"/>
          <w:bCs/>
          <w:sz w:val="18"/>
          <w:szCs w:val="18"/>
          <w:lang w:eastAsia="tr-TR"/>
        </w:rPr>
      </w:pPr>
    </w:p>
    <w:p w14:paraId="238D727C" w14:textId="77777777" w:rsidR="00FC3832" w:rsidRDefault="00FC3832" w:rsidP="00FC3832"/>
    <w:p w14:paraId="36B46445" w14:textId="77777777" w:rsidR="00650AC1" w:rsidRPr="006F7B49" w:rsidRDefault="00650AC1" w:rsidP="00650AC1">
      <w:pPr>
        <w:jc w:val="center"/>
        <w:rPr>
          <w:rFonts w:asciiTheme="minorHAnsi" w:hAnsiTheme="minorHAnsi" w:cs="Tahoma"/>
          <w:b/>
          <w:sz w:val="24"/>
          <w:szCs w:val="24"/>
        </w:rPr>
      </w:pPr>
      <w:r w:rsidRPr="006F7B49">
        <w:rPr>
          <w:rFonts w:asciiTheme="minorHAnsi" w:hAnsiTheme="minorHAnsi" w:cs="Tahoma"/>
          <w:b/>
          <w:sz w:val="24"/>
          <w:szCs w:val="24"/>
        </w:rPr>
        <w:t>GENEL KURUL GÜNDEMİNE İLİŞKİN AÇIKLAMALARIMIZ</w:t>
      </w:r>
    </w:p>
    <w:p w14:paraId="417781C2" w14:textId="77777777" w:rsidR="00650AC1" w:rsidRPr="00534C84" w:rsidRDefault="00650AC1" w:rsidP="00650AC1">
      <w:pPr>
        <w:jc w:val="center"/>
        <w:rPr>
          <w:rFonts w:asciiTheme="minorHAnsi" w:hAnsiTheme="minorHAnsi" w:cs="Tahoma"/>
          <w:b/>
        </w:rPr>
      </w:pPr>
    </w:p>
    <w:p w14:paraId="20B9CF63" w14:textId="0C80554C" w:rsidR="006F7B49" w:rsidRPr="00FB3C42" w:rsidRDefault="006F7B49" w:rsidP="00E54F74">
      <w:pPr>
        <w:pStyle w:val="ListeParagraf"/>
        <w:numPr>
          <w:ilvl w:val="0"/>
          <w:numId w:val="7"/>
        </w:numPr>
        <w:ind w:left="567" w:right="708" w:hanging="567"/>
        <w:jc w:val="both"/>
        <w:rPr>
          <w:rFonts w:asciiTheme="minorHAnsi" w:hAnsiTheme="minorHAnsi" w:cstheme="minorHAnsi"/>
          <w:b/>
          <w:sz w:val="23"/>
          <w:szCs w:val="23"/>
        </w:rPr>
      </w:pPr>
      <w:r w:rsidRPr="00FB3C42">
        <w:rPr>
          <w:rFonts w:asciiTheme="minorHAnsi" w:hAnsiTheme="minorHAnsi" w:cstheme="minorHAnsi"/>
          <w:b/>
          <w:sz w:val="23"/>
          <w:szCs w:val="23"/>
        </w:rPr>
        <w:t>Açılış ve Toplantı Başkanlığı’nın oluşturulması</w:t>
      </w:r>
    </w:p>
    <w:p w14:paraId="1355CFA0" w14:textId="77777777" w:rsidR="00650AC1" w:rsidRPr="00534C84" w:rsidRDefault="00650AC1" w:rsidP="00BF5670">
      <w:pPr>
        <w:ind w:left="567" w:hanging="567"/>
        <w:jc w:val="both"/>
        <w:rPr>
          <w:rFonts w:asciiTheme="minorHAnsi" w:hAnsiTheme="minorHAnsi" w:cs="Tahoma"/>
          <w:b/>
          <w:highlight w:val="yellow"/>
        </w:rPr>
      </w:pPr>
    </w:p>
    <w:p w14:paraId="5E0AEB9D" w14:textId="5C94AC2A" w:rsidR="00650AC1" w:rsidRPr="006F7B49" w:rsidRDefault="00650AC1" w:rsidP="00BF5670">
      <w:pPr>
        <w:ind w:left="567"/>
        <w:jc w:val="both"/>
        <w:rPr>
          <w:rFonts w:asciiTheme="minorHAnsi" w:hAnsiTheme="minorHAnsi" w:cs="Tahoma"/>
          <w:sz w:val="23"/>
          <w:szCs w:val="23"/>
        </w:rPr>
      </w:pPr>
      <w:r w:rsidRPr="006F7B49">
        <w:rPr>
          <w:rFonts w:asciiTheme="minorHAnsi" w:hAnsiTheme="minorHAnsi" w:cs="Tahoma"/>
          <w:b/>
          <w:sz w:val="23"/>
          <w:szCs w:val="23"/>
        </w:rPr>
        <w:t>“</w:t>
      </w:r>
      <w:r w:rsidRPr="006F7B49">
        <w:rPr>
          <w:rFonts w:asciiTheme="minorHAnsi" w:hAnsiTheme="minorHAnsi" w:cs="Tahoma"/>
          <w:sz w:val="23"/>
          <w:szCs w:val="23"/>
        </w:rPr>
        <w:t>Türk Ticaret Kanunu” (TTK) ve “</w:t>
      </w:r>
      <w:r w:rsidR="00E3317B">
        <w:rPr>
          <w:rFonts w:asciiTheme="minorHAnsi" w:hAnsiTheme="minorHAnsi" w:cs="Tahoma"/>
          <w:sz w:val="23"/>
          <w:szCs w:val="23"/>
        </w:rPr>
        <w:t>Anonim Şirketlerin Genel Kurul Toplantılarının Usul ve Esasları ile Bu Toplantılarda Bulunacak Gümrük ve Ticaret Bakanlığı Temsilcileri Hakkında Yönetmelik</w:t>
      </w:r>
      <w:r w:rsidRPr="006F7B49">
        <w:rPr>
          <w:rFonts w:asciiTheme="minorHAnsi" w:hAnsiTheme="minorHAnsi" w:cs="Tahoma"/>
          <w:sz w:val="23"/>
          <w:szCs w:val="23"/>
        </w:rPr>
        <w:t xml:space="preserve">” (Yönetmelik) hükümleri çerçevesinde Genel Kurul </w:t>
      </w:r>
      <w:r w:rsidR="00265270">
        <w:rPr>
          <w:rFonts w:asciiTheme="minorHAnsi" w:hAnsiTheme="minorHAnsi" w:cs="Tahoma"/>
          <w:sz w:val="23"/>
          <w:szCs w:val="23"/>
        </w:rPr>
        <w:t>T</w:t>
      </w:r>
      <w:r w:rsidRPr="006F7B49">
        <w:rPr>
          <w:rFonts w:asciiTheme="minorHAnsi" w:hAnsiTheme="minorHAnsi" w:cs="Tahoma"/>
          <w:sz w:val="23"/>
          <w:szCs w:val="23"/>
        </w:rPr>
        <w:t>oplantısı</w:t>
      </w:r>
      <w:r w:rsidR="00265270">
        <w:rPr>
          <w:rFonts w:asciiTheme="minorHAnsi" w:hAnsiTheme="minorHAnsi" w:cs="Tahoma"/>
          <w:sz w:val="23"/>
          <w:szCs w:val="23"/>
        </w:rPr>
        <w:t>’</w:t>
      </w:r>
      <w:r w:rsidRPr="006F7B49">
        <w:rPr>
          <w:rFonts w:asciiTheme="minorHAnsi" w:hAnsiTheme="minorHAnsi" w:cs="Tahoma"/>
          <w:sz w:val="23"/>
          <w:szCs w:val="23"/>
        </w:rPr>
        <w:t>nı yönetecek Başkan ve Başkanlık Divanı’nın seçimi gerçekleştirilecektir.</w:t>
      </w:r>
    </w:p>
    <w:p w14:paraId="63FDD29B" w14:textId="77777777" w:rsidR="00650AC1" w:rsidRPr="00534C84" w:rsidRDefault="00650AC1" w:rsidP="00BF5670">
      <w:pPr>
        <w:ind w:left="567" w:hanging="567"/>
        <w:jc w:val="both"/>
        <w:rPr>
          <w:rFonts w:asciiTheme="minorHAnsi" w:hAnsiTheme="minorHAnsi" w:cs="Tahoma"/>
          <w:highlight w:val="yellow"/>
        </w:rPr>
      </w:pPr>
    </w:p>
    <w:p w14:paraId="1B8565B8" w14:textId="2463DCA5" w:rsidR="00F00A29" w:rsidRPr="00FB3C42" w:rsidRDefault="00F00A29" w:rsidP="00E54F74">
      <w:pPr>
        <w:pStyle w:val="ListeParagraf"/>
        <w:numPr>
          <w:ilvl w:val="0"/>
          <w:numId w:val="7"/>
        </w:numPr>
        <w:ind w:left="567" w:hanging="567"/>
        <w:jc w:val="both"/>
        <w:rPr>
          <w:rFonts w:asciiTheme="minorHAnsi" w:hAnsiTheme="minorHAnsi" w:cs="Tahoma"/>
          <w:b/>
          <w:sz w:val="23"/>
          <w:szCs w:val="23"/>
        </w:rPr>
      </w:pPr>
      <w:r w:rsidRPr="00FB3C42">
        <w:rPr>
          <w:rFonts w:asciiTheme="minorHAnsi" w:hAnsiTheme="minorHAnsi" w:cs="Tahoma"/>
          <w:b/>
          <w:sz w:val="23"/>
          <w:szCs w:val="23"/>
        </w:rPr>
        <w:t>20</w:t>
      </w:r>
      <w:r w:rsidR="006B3376">
        <w:rPr>
          <w:rFonts w:asciiTheme="minorHAnsi" w:hAnsiTheme="minorHAnsi" w:cs="Tahoma"/>
          <w:b/>
          <w:sz w:val="23"/>
          <w:szCs w:val="23"/>
        </w:rPr>
        <w:t>2</w:t>
      </w:r>
      <w:r w:rsidR="0065404E">
        <w:rPr>
          <w:rFonts w:asciiTheme="minorHAnsi" w:hAnsiTheme="minorHAnsi" w:cs="Tahoma"/>
          <w:b/>
          <w:sz w:val="23"/>
          <w:szCs w:val="23"/>
        </w:rPr>
        <w:t>5</w:t>
      </w:r>
      <w:r w:rsidRPr="00FB3C42">
        <w:rPr>
          <w:rFonts w:asciiTheme="minorHAnsi" w:hAnsiTheme="minorHAnsi" w:cs="Tahoma"/>
          <w:b/>
          <w:sz w:val="23"/>
          <w:szCs w:val="23"/>
        </w:rPr>
        <w:t xml:space="preserve"> yılı faaliyetleri hakkında Yönetim Kurulu Faaliyet Raporu, Kurumsal Yönetim</w:t>
      </w:r>
      <w:r w:rsidR="003D3E62">
        <w:rPr>
          <w:rFonts w:asciiTheme="minorHAnsi" w:hAnsiTheme="minorHAnsi" w:cs="Tahoma"/>
          <w:b/>
          <w:sz w:val="23"/>
          <w:szCs w:val="23"/>
        </w:rPr>
        <w:t xml:space="preserve"> </w:t>
      </w:r>
      <w:r w:rsidRPr="00FB3C42">
        <w:rPr>
          <w:rFonts w:asciiTheme="minorHAnsi" w:hAnsiTheme="minorHAnsi" w:cs="Tahoma"/>
          <w:b/>
          <w:sz w:val="23"/>
          <w:szCs w:val="23"/>
        </w:rPr>
        <w:t>İlkelerine Uyum Beyanı ve Bağımsız Denetçi Raporu</w:t>
      </w:r>
      <w:r w:rsidR="00AF283A">
        <w:rPr>
          <w:rFonts w:asciiTheme="minorHAnsi" w:hAnsiTheme="minorHAnsi" w:cs="Tahoma"/>
          <w:b/>
          <w:sz w:val="23"/>
          <w:szCs w:val="23"/>
        </w:rPr>
        <w:t>’</w:t>
      </w:r>
      <w:r w:rsidRPr="00FB3C42">
        <w:rPr>
          <w:rFonts w:asciiTheme="minorHAnsi" w:hAnsiTheme="minorHAnsi" w:cs="Tahoma"/>
          <w:b/>
          <w:sz w:val="23"/>
          <w:szCs w:val="23"/>
        </w:rPr>
        <w:t>nun okunması ve müzakeresi</w:t>
      </w:r>
    </w:p>
    <w:p w14:paraId="679BFC6A" w14:textId="77777777" w:rsidR="00650AC1" w:rsidRPr="00502C9F" w:rsidRDefault="00650AC1" w:rsidP="00BF5670">
      <w:pPr>
        <w:pStyle w:val="ListeParagraf"/>
        <w:ind w:left="567" w:hanging="567"/>
        <w:jc w:val="both"/>
        <w:rPr>
          <w:rFonts w:asciiTheme="minorHAnsi" w:hAnsiTheme="minorHAnsi" w:cs="Tahoma"/>
          <w:b/>
          <w:sz w:val="10"/>
          <w:szCs w:val="10"/>
          <w:highlight w:val="yellow"/>
        </w:rPr>
      </w:pPr>
    </w:p>
    <w:p w14:paraId="662F4DAA" w14:textId="4B02715E" w:rsidR="00650AC1" w:rsidRDefault="00772AEE" w:rsidP="00BF5670">
      <w:pPr>
        <w:pStyle w:val="ListeParagraf"/>
        <w:ind w:left="567"/>
        <w:jc w:val="both"/>
        <w:rPr>
          <w:rFonts w:asciiTheme="minorHAnsi" w:hAnsiTheme="minorHAnsi" w:cs="Tahoma"/>
          <w:sz w:val="23"/>
          <w:szCs w:val="23"/>
        </w:rPr>
      </w:pPr>
      <w:r w:rsidRPr="00772AEE">
        <w:rPr>
          <w:rFonts w:asciiTheme="minorHAnsi" w:hAnsiTheme="minorHAnsi" w:cs="Tahoma"/>
          <w:sz w:val="23"/>
          <w:szCs w:val="23"/>
        </w:rPr>
        <w:t xml:space="preserve">TTK, </w:t>
      </w:r>
      <w:r w:rsidR="00650AC1" w:rsidRPr="00772AEE">
        <w:rPr>
          <w:rFonts w:asciiTheme="minorHAnsi" w:hAnsiTheme="minorHAnsi" w:cs="Tahoma"/>
          <w:sz w:val="23"/>
          <w:szCs w:val="23"/>
        </w:rPr>
        <w:t xml:space="preserve">Yönetmelik </w:t>
      </w:r>
      <w:r w:rsidRPr="00772AEE">
        <w:rPr>
          <w:rFonts w:asciiTheme="minorHAnsi" w:hAnsiTheme="minorHAnsi" w:cs="Tahoma"/>
          <w:sz w:val="23"/>
          <w:szCs w:val="23"/>
        </w:rPr>
        <w:t>ve Sermaye Piyasası Mevzuatı hükümler</w:t>
      </w:r>
      <w:r w:rsidR="00C076A2">
        <w:rPr>
          <w:rFonts w:asciiTheme="minorHAnsi" w:hAnsiTheme="minorHAnsi" w:cs="Tahoma"/>
          <w:sz w:val="23"/>
          <w:szCs w:val="23"/>
        </w:rPr>
        <w:t>i</w:t>
      </w:r>
      <w:r w:rsidR="00650AC1" w:rsidRPr="00772AEE">
        <w:rPr>
          <w:rFonts w:asciiTheme="minorHAnsi" w:hAnsiTheme="minorHAnsi" w:cs="Tahoma"/>
          <w:sz w:val="23"/>
          <w:szCs w:val="23"/>
        </w:rPr>
        <w:t xml:space="preserve"> çerçevesinde kurumsal yönetim uyum raporunun da yer aldığı Yönetim Kurulu Faaliyet Raporu</w:t>
      </w:r>
      <w:r w:rsidR="003D3E62">
        <w:rPr>
          <w:rFonts w:asciiTheme="minorHAnsi" w:hAnsiTheme="minorHAnsi" w:cs="Tahoma"/>
          <w:sz w:val="23"/>
          <w:szCs w:val="23"/>
        </w:rPr>
        <w:t xml:space="preserve"> ve</w:t>
      </w:r>
      <w:r w:rsidR="00650AC1" w:rsidRPr="00772AEE">
        <w:rPr>
          <w:rFonts w:asciiTheme="minorHAnsi" w:hAnsiTheme="minorHAnsi" w:cs="Tahoma"/>
          <w:sz w:val="23"/>
          <w:szCs w:val="23"/>
        </w:rPr>
        <w:t xml:space="preserve"> </w:t>
      </w:r>
      <w:r w:rsidR="009C0940" w:rsidRPr="00772AEE">
        <w:rPr>
          <w:rFonts w:asciiTheme="minorHAnsi" w:hAnsiTheme="minorHAnsi" w:cs="Tahoma"/>
          <w:sz w:val="23"/>
          <w:szCs w:val="23"/>
        </w:rPr>
        <w:t xml:space="preserve">Bağımsız Denetim Raporu </w:t>
      </w:r>
      <w:r w:rsidRPr="00772AEE">
        <w:rPr>
          <w:rFonts w:asciiTheme="minorHAnsi" w:hAnsiTheme="minorHAnsi" w:cs="Tahoma"/>
          <w:sz w:val="23"/>
          <w:szCs w:val="23"/>
        </w:rPr>
        <w:t>Genel Kurul toplantısından üç hafta öncesinde</w:t>
      </w:r>
      <w:r w:rsidR="00650AC1" w:rsidRPr="00772AEE">
        <w:rPr>
          <w:rFonts w:asciiTheme="minorHAnsi" w:hAnsiTheme="minorHAnsi" w:cs="Tahoma"/>
          <w:sz w:val="23"/>
          <w:szCs w:val="23"/>
        </w:rPr>
        <w:t xml:space="preserve"> Şirketimiz merkezinde</w:t>
      </w:r>
      <w:r w:rsidRPr="00772AEE">
        <w:rPr>
          <w:rFonts w:asciiTheme="minorHAnsi" w:hAnsiTheme="minorHAnsi" w:cs="Tahoma"/>
          <w:sz w:val="23"/>
          <w:szCs w:val="23"/>
        </w:rPr>
        <w:t>, MKK’nın Elektronik Genel Kurul Portalı</w:t>
      </w:r>
      <w:r w:rsidR="00265270">
        <w:rPr>
          <w:rFonts w:asciiTheme="minorHAnsi" w:hAnsiTheme="minorHAnsi" w:cs="Tahoma"/>
          <w:sz w:val="23"/>
          <w:szCs w:val="23"/>
        </w:rPr>
        <w:t>’</w:t>
      </w:r>
      <w:r w:rsidRPr="00772AEE">
        <w:rPr>
          <w:rFonts w:asciiTheme="minorHAnsi" w:hAnsiTheme="minorHAnsi" w:cs="Tahoma"/>
          <w:sz w:val="23"/>
          <w:szCs w:val="23"/>
        </w:rPr>
        <w:t xml:space="preserve">nda </w:t>
      </w:r>
      <w:r w:rsidR="00650AC1" w:rsidRPr="00772AEE">
        <w:rPr>
          <w:rFonts w:asciiTheme="minorHAnsi" w:hAnsiTheme="minorHAnsi" w:cs="Tahoma"/>
          <w:sz w:val="23"/>
          <w:szCs w:val="23"/>
        </w:rPr>
        <w:t xml:space="preserve">ve </w:t>
      </w:r>
      <w:hyperlink r:id="rId11" w:history="1">
        <w:r w:rsidR="00650AC1" w:rsidRPr="00772AEE">
          <w:rPr>
            <w:rStyle w:val="Kpr"/>
            <w:rFonts w:asciiTheme="minorHAnsi" w:hAnsiTheme="minorHAnsi" w:cs="Tahoma"/>
            <w:color w:val="auto"/>
            <w:sz w:val="23"/>
            <w:szCs w:val="23"/>
          </w:rPr>
          <w:t>www.isleasing.com.tr</w:t>
        </w:r>
      </w:hyperlink>
      <w:r w:rsidR="00650AC1" w:rsidRPr="00772AEE">
        <w:rPr>
          <w:rFonts w:asciiTheme="minorHAnsi" w:hAnsiTheme="minorHAnsi" w:cs="Tahoma"/>
          <w:sz w:val="23"/>
          <w:szCs w:val="23"/>
        </w:rPr>
        <w:t xml:space="preserve"> </w:t>
      </w:r>
      <w:r w:rsidR="00C076A2">
        <w:rPr>
          <w:rFonts w:asciiTheme="minorHAnsi" w:hAnsiTheme="minorHAnsi" w:cs="Tahoma"/>
          <w:sz w:val="23"/>
          <w:szCs w:val="23"/>
        </w:rPr>
        <w:t xml:space="preserve">adresindeki </w:t>
      </w:r>
      <w:r w:rsidRPr="00772AEE">
        <w:rPr>
          <w:rFonts w:asciiTheme="minorHAnsi" w:hAnsiTheme="minorHAnsi" w:cs="Tahoma"/>
          <w:sz w:val="23"/>
          <w:szCs w:val="23"/>
        </w:rPr>
        <w:t xml:space="preserve">Şirket internet </w:t>
      </w:r>
      <w:r w:rsidR="00C076A2">
        <w:rPr>
          <w:rFonts w:asciiTheme="minorHAnsi" w:hAnsiTheme="minorHAnsi" w:cs="Tahoma"/>
          <w:sz w:val="23"/>
          <w:szCs w:val="23"/>
        </w:rPr>
        <w:t>sitesinde</w:t>
      </w:r>
      <w:r w:rsidR="00650AC1" w:rsidRPr="00772AEE">
        <w:rPr>
          <w:rFonts w:asciiTheme="minorHAnsi" w:hAnsiTheme="minorHAnsi" w:cs="Tahoma"/>
          <w:sz w:val="23"/>
          <w:szCs w:val="23"/>
        </w:rPr>
        <w:t xml:space="preserve"> ortaklarımızın incelemesine sunulmuş olup, Genel Kurul</w:t>
      </w:r>
      <w:r w:rsidR="00265270">
        <w:rPr>
          <w:rFonts w:asciiTheme="minorHAnsi" w:hAnsiTheme="minorHAnsi" w:cs="Tahoma"/>
          <w:sz w:val="23"/>
          <w:szCs w:val="23"/>
        </w:rPr>
        <w:t>’</w:t>
      </w:r>
      <w:r w:rsidR="00650AC1" w:rsidRPr="00772AEE">
        <w:rPr>
          <w:rFonts w:asciiTheme="minorHAnsi" w:hAnsiTheme="minorHAnsi" w:cs="Tahoma"/>
          <w:sz w:val="23"/>
          <w:szCs w:val="23"/>
        </w:rPr>
        <w:t xml:space="preserve">da okunarak ortaklarımızın görüş ve onayına sunulacaktır. </w:t>
      </w:r>
    </w:p>
    <w:p w14:paraId="3FC366D2" w14:textId="77777777" w:rsidR="00456E3F" w:rsidRPr="00534C84" w:rsidRDefault="00456E3F" w:rsidP="00BF5670">
      <w:pPr>
        <w:pStyle w:val="ListeParagraf"/>
        <w:ind w:left="567"/>
        <w:jc w:val="both"/>
        <w:rPr>
          <w:rFonts w:asciiTheme="minorHAnsi" w:hAnsiTheme="minorHAnsi" w:cs="Tahoma"/>
        </w:rPr>
      </w:pPr>
    </w:p>
    <w:p w14:paraId="464C6DFD" w14:textId="0DC994CF" w:rsidR="00456E3F" w:rsidRPr="00F40937" w:rsidRDefault="00456E3F" w:rsidP="00E54F74">
      <w:pPr>
        <w:pStyle w:val="ListeParagraf"/>
        <w:numPr>
          <w:ilvl w:val="0"/>
          <w:numId w:val="2"/>
        </w:numPr>
        <w:ind w:left="567" w:right="708" w:hanging="567"/>
        <w:jc w:val="both"/>
        <w:rPr>
          <w:rFonts w:asciiTheme="minorHAnsi" w:hAnsiTheme="minorHAnsi" w:cstheme="minorHAnsi"/>
          <w:b/>
          <w:sz w:val="23"/>
          <w:szCs w:val="23"/>
        </w:rPr>
      </w:pPr>
      <w:r w:rsidRPr="00F40937">
        <w:rPr>
          <w:rFonts w:asciiTheme="minorHAnsi" w:hAnsiTheme="minorHAnsi" w:cstheme="minorHAnsi"/>
          <w:b/>
          <w:sz w:val="23"/>
          <w:szCs w:val="23"/>
        </w:rPr>
        <w:t>20</w:t>
      </w:r>
      <w:r w:rsidR="006B3376" w:rsidRPr="00F40937">
        <w:rPr>
          <w:rFonts w:asciiTheme="minorHAnsi" w:hAnsiTheme="minorHAnsi" w:cstheme="minorHAnsi"/>
          <w:b/>
          <w:sz w:val="23"/>
          <w:szCs w:val="23"/>
        </w:rPr>
        <w:t>2</w:t>
      </w:r>
      <w:r w:rsidR="0065404E">
        <w:rPr>
          <w:rFonts w:asciiTheme="minorHAnsi" w:hAnsiTheme="minorHAnsi" w:cstheme="minorHAnsi"/>
          <w:b/>
          <w:sz w:val="23"/>
          <w:szCs w:val="23"/>
        </w:rPr>
        <w:t>5</w:t>
      </w:r>
      <w:r w:rsidRPr="00F40937">
        <w:rPr>
          <w:rFonts w:asciiTheme="minorHAnsi" w:hAnsiTheme="minorHAnsi" w:cstheme="minorHAnsi"/>
          <w:b/>
          <w:sz w:val="23"/>
          <w:szCs w:val="23"/>
        </w:rPr>
        <w:t xml:space="preserve"> yılı Finansal Tablolarının okunması, müzakeresi ve onaylanması</w:t>
      </w:r>
    </w:p>
    <w:p w14:paraId="7D246BBB" w14:textId="77777777" w:rsidR="00C076A2" w:rsidRPr="00502C9F" w:rsidRDefault="00C076A2" w:rsidP="00C076A2">
      <w:pPr>
        <w:pStyle w:val="ListeParagraf"/>
        <w:ind w:left="567" w:right="708"/>
        <w:jc w:val="both"/>
        <w:rPr>
          <w:rFonts w:asciiTheme="minorHAnsi" w:hAnsiTheme="minorHAnsi" w:cstheme="minorHAnsi"/>
          <w:b/>
          <w:sz w:val="10"/>
          <w:szCs w:val="10"/>
        </w:rPr>
      </w:pPr>
    </w:p>
    <w:p w14:paraId="291F6EB4" w14:textId="09DFB876" w:rsidR="003D3E62" w:rsidRDefault="00C076A2" w:rsidP="00035EA5">
      <w:pPr>
        <w:ind w:left="567"/>
        <w:jc w:val="both"/>
        <w:rPr>
          <w:rFonts w:asciiTheme="minorHAnsi" w:hAnsiTheme="minorHAnsi" w:cs="Tahoma"/>
          <w:sz w:val="23"/>
          <w:szCs w:val="23"/>
        </w:rPr>
      </w:pPr>
      <w:r w:rsidRPr="00C076A2">
        <w:rPr>
          <w:rFonts w:asciiTheme="minorHAnsi" w:hAnsiTheme="minorHAnsi" w:cs="Tahoma"/>
          <w:sz w:val="23"/>
          <w:szCs w:val="23"/>
        </w:rPr>
        <w:t>TTK, Yönetmelik ve Sermaye Piyasası Mevzuatı hükümleri çerçevesinde Genel Kurul toplantısından üç hafta öncesinde Şirketimiz merkezinde, MKK’nın Elektronik Genel Kurul Portalı</w:t>
      </w:r>
      <w:r w:rsidR="00265270">
        <w:rPr>
          <w:rFonts w:asciiTheme="minorHAnsi" w:hAnsiTheme="minorHAnsi" w:cs="Tahoma"/>
          <w:sz w:val="23"/>
          <w:szCs w:val="23"/>
        </w:rPr>
        <w:t>’</w:t>
      </w:r>
      <w:r w:rsidRPr="00C076A2">
        <w:rPr>
          <w:rFonts w:asciiTheme="minorHAnsi" w:hAnsiTheme="minorHAnsi" w:cs="Tahoma"/>
          <w:sz w:val="23"/>
          <w:szCs w:val="23"/>
        </w:rPr>
        <w:t xml:space="preserve">nda ve </w:t>
      </w:r>
      <w:hyperlink r:id="rId12" w:history="1">
        <w:r w:rsidRPr="00C076A2">
          <w:rPr>
            <w:rStyle w:val="Kpr"/>
            <w:rFonts w:asciiTheme="minorHAnsi" w:hAnsiTheme="minorHAnsi" w:cs="Tahoma"/>
            <w:color w:val="auto"/>
            <w:sz w:val="23"/>
            <w:szCs w:val="23"/>
          </w:rPr>
          <w:t>www.isleasing.com.tr</w:t>
        </w:r>
      </w:hyperlink>
      <w:r w:rsidRPr="00C076A2">
        <w:rPr>
          <w:rFonts w:asciiTheme="minorHAnsi" w:hAnsiTheme="minorHAnsi" w:cs="Tahoma"/>
          <w:sz w:val="23"/>
          <w:szCs w:val="23"/>
        </w:rPr>
        <w:t xml:space="preserve"> adresindeki Şirket internet sitesinde ortaklarımızın incelemesine hazır bulunan Finansal Tablolar okunarak ortaklarımızın onayına sunulacaktır.</w:t>
      </w:r>
    </w:p>
    <w:p w14:paraId="1FD37F28" w14:textId="0FC1F741" w:rsidR="0065404E" w:rsidRDefault="0065404E" w:rsidP="00035EA5">
      <w:pPr>
        <w:ind w:left="567"/>
        <w:jc w:val="both"/>
        <w:rPr>
          <w:rFonts w:asciiTheme="minorHAnsi" w:hAnsiTheme="minorHAnsi" w:cs="Tahoma"/>
          <w:sz w:val="23"/>
          <w:szCs w:val="23"/>
        </w:rPr>
      </w:pPr>
    </w:p>
    <w:p w14:paraId="3FF36EAE" w14:textId="287D94BF" w:rsidR="0065404E" w:rsidRDefault="0065404E" w:rsidP="00E54F74">
      <w:pPr>
        <w:pStyle w:val="ListeParagraf"/>
        <w:numPr>
          <w:ilvl w:val="0"/>
          <w:numId w:val="2"/>
        </w:numPr>
        <w:tabs>
          <w:tab w:val="left" w:pos="9214"/>
        </w:tabs>
        <w:ind w:left="567" w:hanging="567"/>
        <w:jc w:val="both"/>
        <w:rPr>
          <w:rFonts w:asciiTheme="minorHAnsi" w:hAnsiTheme="minorHAnsi" w:cstheme="minorHAnsi"/>
          <w:b/>
          <w:sz w:val="23"/>
          <w:szCs w:val="23"/>
        </w:rPr>
      </w:pPr>
      <w:r w:rsidRPr="0065404E">
        <w:rPr>
          <w:rFonts w:asciiTheme="minorHAnsi" w:hAnsiTheme="minorHAnsi" w:cstheme="minorHAnsi"/>
          <w:b/>
          <w:sz w:val="23"/>
          <w:szCs w:val="23"/>
        </w:rPr>
        <w:t>2024 yılı Türkiye Sürdürülebilirlik Raporlama Standartları Uyumlu Sürdürülebilirlik Raporu’nun müzakeresi ve onaylanması</w:t>
      </w:r>
    </w:p>
    <w:p w14:paraId="3EAFC74B" w14:textId="77777777" w:rsidR="0065404E" w:rsidRPr="0065404E" w:rsidRDefault="0065404E" w:rsidP="0065404E">
      <w:pPr>
        <w:pStyle w:val="ListeParagraf"/>
        <w:tabs>
          <w:tab w:val="left" w:pos="9214"/>
        </w:tabs>
        <w:ind w:left="567"/>
        <w:jc w:val="both"/>
        <w:rPr>
          <w:rFonts w:asciiTheme="minorHAnsi" w:hAnsiTheme="minorHAnsi" w:cs="Tahoma"/>
          <w:sz w:val="23"/>
          <w:szCs w:val="23"/>
        </w:rPr>
      </w:pPr>
    </w:p>
    <w:p w14:paraId="7C70BFF0" w14:textId="66B44B20" w:rsidR="0065404E" w:rsidRPr="0065404E" w:rsidRDefault="00F41CF2" w:rsidP="0065404E">
      <w:pPr>
        <w:pStyle w:val="ListeParagraf"/>
        <w:tabs>
          <w:tab w:val="left" w:pos="9214"/>
        </w:tabs>
        <w:ind w:left="567"/>
        <w:jc w:val="both"/>
        <w:rPr>
          <w:rFonts w:asciiTheme="minorHAnsi" w:hAnsiTheme="minorHAnsi" w:cs="Tahoma"/>
          <w:sz w:val="23"/>
          <w:szCs w:val="23"/>
        </w:rPr>
      </w:pPr>
      <w:r w:rsidRPr="00F83A69">
        <w:rPr>
          <w:rFonts w:asciiTheme="minorHAnsi" w:hAnsiTheme="minorHAnsi" w:cs="Tahoma"/>
          <w:sz w:val="23"/>
          <w:szCs w:val="23"/>
        </w:rPr>
        <w:t xml:space="preserve">Genel Kurul toplantısından üç hafta öncesinde Şirketimiz merkezinde, </w:t>
      </w:r>
      <w:proofErr w:type="spellStart"/>
      <w:r w:rsidRPr="007D592C">
        <w:rPr>
          <w:rFonts w:asciiTheme="minorHAnsi" w:hAnsiTheme="minorHAnsi" w:cs="Tahoma"/>
          <w:sz w:val="23"/>
          <w:szCs w:val="23"/>
        </w:rPr>
        <w:t>MKK’nın</w:t>
      </w:r>
      <w:proofErr w:type="spellEnd"/>
      <w:r w:rsidRPr="007D592C">
        <w:rPr>
          <w:rFonts w:asciiTheme="minorHAnsi" w:hAnsiTheme="minorHAnsi" w:cs="Tahoma"/>
          <w:sz w:val="23"/>
          <w:szCs w:val="23"/>
        </w:rPr>
        <w:t xml:space="preserve"> Elektronik Genel Kurul </w:t>
      </w:r>
      <w:proofErr w:type="spellStart"/>
      <w:r w:rsidRPr="007D592C">
        <w:rPr>
          <w:rFonts w:asciiTheme="minorHAnsi" w:hAnsiTheme="minorHAnsi" w:cs="Tahoma"/>
          <w:sz w:val="23"/>
          <w:szCs w:val="23"/>
        </w:rPr>
        <w:t>Portalı’nda</w:t>
      </w:r>
      <w:proofErr w:type="spellEnd"/>
      <w:r w:rsidRPr="007D592C">
        <w:rPr>
          <w:rFonts w:asciiTheme="minorHAnsi" w:hAnsiTheme="minorHAnsi" w:cs="Tahoma"/>
          <w:sz w:val="23"/>
          <w:szCs w:val="23"/>
        </w:rPr>
        <w:t xml:space="preserve"> ve </w:t>
      </w:r>
      <w:r w:rsidRPr="007D592C">
        <w:rPr>
          <w:rFonts w:asciiTheme="minorHAnsi" w:hAnsiTheme="minorHAnsi" w:cs="Tahoma"/>
          <w:sz w:val="23"/>
          <w:szCs w:val="23"/>
          <w:u w:val="single"/>
        </w:rPr>
        <w:t>www.isleasing.com.tr</w:t>
      </w:r>
      <w:r w:rsidRPr="007D592C">
        <w:rPr>
          <w:rFonts w:asciiTheme="minorHAnsi" w:hAnsiTheme="minorHAnsi" w:cs="Tahoma"/>
          <w:sz w:val="23"/>
          <w:szCs w:val="23"/>
        </w:rPr>
        <w:t xml:space="preserve"> adresindeki Şirket internet sitesinde ortaklarımızın incelemesine hazır bulunan </w:t>
      </w:r>
      <w:r w:rsidR="0065404E" w:rsidRPr="007D592C">
        <w:rPr>
          <w:rFonts w:asciiTheme="minorHAnsi" w:hAnsiTheme="minorHAnsi" w:cs="Tahoma"/>
          <w:sz w:val="23"/>
          <w:szCs w:val="23"/>
        </w:rPr>
        <w:t>Kamu Gözetimi, Muhasebe ve Denetim Standartları Kurumu’nun Türkiye Sürdürülebilirlik Raporlama Standartları kapsamında hazırlanan</w:t>
      </w:r>
      <w:bookmarkStart w:id="0" w:name="_GoBack"/>
      <w:bookmarkEnd w:id="0"/>
      <w:r w:rsidR="0065404E">
        <w:rPr>
          <w:rFonts w:asciiTheme="minorHAnsi" w:hAnsiTheme="minorHAnsi" w:cs="Tahoma"/>
          <w:sz w:val="23"/>
          <w:szCs w:val="23"/>
        </w:rPr>
        <w:t xml:space="preserve"> </w:t>
      </w:r>
      <w:r w:rsidR="00534DAB">
        <w:rPr>
          <w:rFonts w:asciiTheme="minorHAnsi" w:hAnsiTheme="minorHAnsi" w:cs="Tahoma"/>
          <w:sz w:val="23"/>
          <w:szCs w:val="23"/>
        </w:rPr>
        <w:t xml:space="preserve">ve </w:t>
      </w:r>
      <w:proofErr w:type="spellStart"/>
      <w:r w:rsidR="00534DAB" w:rsidRPr="00534DAB">
        <w:rPr>
          <w:rFonts w:asciiTheme="minorHAnsi" w:hAnsiTheme="minorHAnsi" w:cs="Tahoma"/>
          <w:sz w:val="23"/>
          <w:szCs w:val="23"/>
        </w:rPr>
        <w:t>PwC</w:t>
      </w:r>
      <w:proofErr w:type="spellEnd"/>
      <w:r w:rsidR="00534DAB" w:rsidRPr="00534DAB">
        <w:rPr>
          <w:rFonts w:asciiTheme="minorHAnsi" w:hAnsiTheme="minorHAnsi" w:cs="Tahoma"/>
          <w:sz w:val="23"/>
          <w:szCs w:val="23"/>
        </w:rPr>
        <w:t xml:space="preserve"> Bağımsız Denetim ve Serbest Muhasebeci Mali Müşavirlik Anonim Şirketi </w:t>
      </w:r>
      <w:r w:rsidR="00534DAB">
        <w:rPr>
          <w:rFonts w:asciiTheme="minorHAnsi" w:hAnsiTheme="minorHAnsi" w:cs="Tahoma"/>
          <w:sz w:val="23"/>
          <w:szCs w:val="23"/>
        </w:rPr>
        <w:t xml:space="preserve">tarafından sınırlı güvence denetimi gerçekleştirilen </w:t>
      </w:r>
      <w:r w:rsidR="0065404E">
        <w:rPr>
          <w:rFonts w:asciiTheme="minorHAnsi" w:hAnsiTheme="minorHAnsi" w:cs="Tahoma"/>
          <w:sz w:val="23"/>
          <w:szCs w:val="23"/>
        </w:rPr>
        <w:t>2024 yılına ilişkin Sürdürülebilirlik Raporu ortaklarımızın onayına sunulacaktır.</w:t>
      </w:r>
    </w:p>
    <w:p w14:paraId="0D52F33F" w14:textId="77777777" w:rsidR="0065404E" w:rsidRPr="0065404E" w:rsidRDefault="0065404E" w:rsidP="0065404E">
      <w:pPr>
        <w:pStyle w:val="ListeParagraf"/>
        <w:tabs>
          <w:tab w:val="left" w:pos="9214"/>
        </w:tabs>
        <w:ind w:left="567"/>
        <w:jc w:val="both"/>
        <w:rPr>
          <w:rFonts w:asciiTheme="minorHAnsi" w:hAnsiTheme="minorHAnsi" w:cs="Tahoma"/>
          <w:sz w:val="23"/>
          <w:szCs w:val="23"/>
        </w:rPr>
      </w:pPr>
    </w:p>
    <w:p w14:paraId="710216C5" w14:textId="6F4D1FD6" w:rsidR="00F32D9C" w:rsidRDefault="00F32D9C" w:rsidP="00567907">
      <w:pPr>
        <w:pStyle w:val="ListeParagraf"/>
        <w:numPr>
          <w:ilvl w:val="0"/>
          <w:numId w:val="2"/>
        </w:numPr>
        <w:tabs>
          <w:tab w:val="left" w:pos="9214"/>
        </w:tabs>
        <w:ind w:left="567" w:hanging="567"/>
        <w:jc w:val="both"/>
        <w:rPr>
          <w:rFonts w:asciiTheme="minorHAnsi" w:hAnsiTheme="minorHAnsi" w:cstheme="minorHAnsi"/>
          <w:b/>
          <w:sz w:val="23"/>
          <w:szCs w:val="23"/>
        </w:rPr>
      </w:pPr>
      <w:r>
        <w:rPr>
          <w:rFonts w:asciiTheme="minorHAnsi" w:hAnsiTheme="minorHAnsi" w:cstheme="minorHAnsi"/>
          <w:b/>
          <w:sz w:val="23"/>
          <w:szCs w:val="23"/>
        </w:rPr>
        <w:t xml:space="preserve">Yönetim </w:t>
      </w:r>
      <w:r w:rsidR="00265270">
        <w:rPr>
          <w:rFonts w:asciiTheme="minorHAnsi" w:hAnsiTheme="minorHAnsi" w:cstheme="minorHAnsi"/>
          <w:b/>
          <w:sz w:val="23"/>
          <w:szCs w:val="23"/>
        </w:rPr>
        <w:t>K</w:t>
      </w:r>
      <w:r>
        <w:rPr>
          <w:rFonts w:asciiTheme="minorHAnsi" w:hAnsiTheme="minorHAnsi" w:cstheme="minorHAnsi"/>
          <w:b/>
          <w:sz w:val="23"/>
          <w:szCs w:val="23"/>
        </w:rPr>
        <w:t>urulu Üyelerinin ibrası</w:t>
      </w:r>
    </w:p>
    <w:p w14:paraId="78306485" w14:textId="77777777" w:rsidR="00F32D9C" w:rsidRPr="00502C9F" w:rsidRDefault="00F32D9C" w:rsidP="00372884">
      <w:pPr>
        <w:pStyle w:val="ListeParagraf"/>
        <w:tabs>
          <w:tab w:val="left" w:pos="9214"/>
        </w:tabs>
        <w:ind w:left="567"/>
        <w:jc w:val="both"/>
        <w:rPr>
          <w:rFonts w:asciiTheme="minorHAnsi" w:hAnsiTheme="minorHAnsi" w:cstheme="minorHAnsi"/>
          <w:b/>
          <w:sz w:val="10"/>
          <w:szCs w:val="10"/>
        </w:rPr>
      </w:pPr>
    </w:p>
    <w:p w14:paraId="29AB4BB7" w14:textId="0F5F48FB" w:rsidR="006C69BB" w:rsidRDefault="00F32D9C" w:rsidP="00F32D9C">
      <w:pPr>
        <w:pStyle w:val="ListeParagraf"/>
        <w:tabs>
          <w:tab w:val="num" w:pos="567"/>
        </w:tabs>
        <w:ind w:left="567" w:hanging="567"/>
        <w:jc w:val="both"/>
        <w:rPr>
          <w:rFonts w:asciiTheme="minorHAnsi" w:hAnsiTheme="minorHAnsi" w:cs="Tahoma"/>
          <w:sz w:val="23"/>
          <w:szCs w:val="23"/>
        </w:rPr>
      </w:pPr>
      <w:r>
        <w:rPr>
          <w:rFonts w:asciiTheme="minorHAnsi" w:hAnsiTheme="minorHAnsi" w:cs="Tahoma"/>
          <w:sz w:val="23"/>
          <w:szCs w:val="23"/>
        </w:rPr>
        <w:tab/>
      </w:r>
      <w:r w:rsidRPr="00E918CC">
        <w:rPr>
          <w:rFonts w:asciiTheme="minorHAnsi" w:hAnsiTheme="minorHAnsi" w:cs="Tahoma"/>
          <w:sz w:val="23"/>
          <w:szCs w:val="23"/>
        </w:rPr>
        <w:t xml:space="preserve">TTK ve Yönetmelik hükümleri çerçevesinde Yönetim Kurulu </w:t>
      </w:r>
      <w:r w:rsidR="00265270">
        <w:rPr>
          <w:rFonts w:asciiTheme="minorHAnsi" w:hAnsiTheme="minorHAnsi" w:cs="Tahoma"/>
          <w:sz w:val="23"/>
          <w:szCs w:val="23"/>
        </w:rPr>
        <w:t>Ü</w:t>
      </w:r>
      <w:r w:rsidRPr="00E918CC">
        <w:rPr>
          <w:rFonts w:asciiTheme="minorHAnsi" w:hAnsiTheme="minorHAnsi" w:cs="Tahoma"/>
          <w:sz w:val="23"/>
          <w:szCs w:val="23"/>
        </w:rPr>
        <w:t>yelerimizin 20</w:t>
      </w:r>
      <w:r w:rsidR="00D42CD7">
        <w:rPr>
          <w:rFonts w:asciiTheme="minorHAnsi" w:hAnsiTheme="minorHAnsi" w:cs="Tahoma"/>
          <w:sz w:val="23"/>
          <w:szCs w:val="23"/>
        </w:rPr>
        <w:t>2</w:t>
      </w:r>
      <w:r w:rsidR="00534DAB">
        <w:rPr>
          <w:rFonts w:asciiTheme="minorHAnsi" w:hAnsiTheme="minorHAnsi" w:cs="Tahoma"/>
          <w:sz w:val="23"/>
          <w:szCs w:val="23"/>
        </w:rPr>
        <w:t>5</w:t>
      </w:r>
      <w:r w:rsidRPr="00E918CC">
        <w:rPr>
          <w:rFonts w:asciiTheme="minorHAnsi" w:hAnsiTheme="minorHAnsi" w:cs="Tahoma"/>
          <w:sz w:val="23"/>
          <w:szCs w:val="23"/>
        </w:rPr>
        <w:t xml:space="preserve"> yılı faaliyet, işlem ve hesaplarından ötürü ibra edilmeleri Genel Kurul</w:t>
      </w:r>
      <w:r w:rsidR="00265270">
        <w:rPr>
          <w:rFonts w:asciiTheme="minorHAnsi" w:hAnsiTheme="minorHAnsi" w:cs="Tahoma"/>
          <w:sz w:val="23"/>
          <w:szCs w:val="23"/>
        </w:rPr>
        <w:t>’</w:t>
      </w:r>
      <w:r w:rsidRPr="00E918CC">
        <w:rPr>
          <w:rFonts w:asciiTheme="minorHAnsi" w:hAnsiTheme="minorHAnsi" w:cs="Tahoma"/>
          <w:sz w:val="23"/>
          <w:szCs w:val="23"/>
        </w:rPr>
        <w:t>un onayına sunulacaktır.</w:t>
      </w:r>
    </w:p>
    <w:p w14:paraId="18FBC4AC" w14:textId="77777777" w:rsidR="00F32D9C" w:rsidRPr="00534C84" w:rsidRDefault="00F32D9C" w:rsidP="00372884">
      <w:pPr>
        <w:pStyle w:val="ListeParagraf"/>
        <w:tabs>
          <w:tab w:val="left" w:pos="9214"/>
        </w:tabs>
        <w:ind w:left="567"/>
        <w:jc w:val="both"/>
        <w:rPr>
          <w:rFonts w:asciiTheme="minorHAnsi" w:hAnsiTheme="minorHAnsi" w:cstheme="minorHAnsi"/>
          <w:b/>
        </w:rPr>
      </w:pPr>
    </w:p>
    <w:p w14:paraId="0DB4BB4D" w14:textId="41803A66" w:rsidR="00C076A2" w:rsidRPr="00456E3F" w:rsidRDefault="00C076A2" w:rsidP="00E54F74">
      <w:pPr>
        <w:pStyle w:val="ListeParagraf"/>
        <w:numPr>
          <w:ilvl w:val="0"/>
          <w:numId w:val="2"/>
        </w:numPr>
        <w:tabs>
          <w:tab w:val="left" w:pos="9214"/>
        </w:tabs>
        <w:ind w:left="567" w:hanging="567"/>
        <w:jc w:val="both"/>
        <w:rPr>
          <w:rFonts w:asciiTheme="minorHAnsi" w:hAnsiTheme="minorHAnsi" w:cstheme="minorHAnsi"/>
          <w:b/>
          <w:sz w:val="23"/>
          <w:szCs w:val="23"/>
        </w:rPr>
      </w:pPr>
      <w:r>
        <w:rPr>
          <w:rFonts w:asciiTheme="minorHAnsi" w:hAnsiTheme="minorHAnsi" w:cstheme="minorHAnsi"/>
          <w:b/>
          <w:sz w:val="23"/>
          <w:szCs w:val="23"/>
        </w:rPr>
        <w:t>Yönetim Kurulu tarafından hazırlanan Kar Dağıtımı Önerisinin görüşülmesi ve karara bağlanması</w:t>
      </w:r>
    </w:p>
    <w:p w14:paraId="69823104" w14:textId="77777777" w:rsidR="00C076A2" w:rsidRPr="00502C9F" w:rsidRDefault="00C076A2" w:rsidP="00C076A2">
      <w:pPr>
        <w:pStyle w:val="ListeParagraf"/>
        <w:ind w:left="567"/>
        <w:jc w:val="both"/>
        <w:rPr>
          <w:rFonts w:asciiTheme="minorHAnsi" w:hAnsiTheme="minorHAnsi" w:cs="Tahoma"/>
          <w:b/>
          <w:sz w:val="10"/>
          <w:szCs w:val="10"/>
          <w:highlight w:val="yellow"/>
        </w:rPr>
      </w:pPr>
    </w:p>
    <w:p w14:paraId="6AD3FF5E" w14:textId="30C2790B" w:rsidR="00732817" w:rsidRDefault="00C076A2" w:rsidP="003A2F4A">
      <w:pPr>
        <w:pStyle w:val="ListeParagraf"/>
        <w:ind w:left="567"/>
        <w:jc w:val="both"/>
        <w:rPr>
          <w:rFonts w:asciiTheme="minorHAnsi" w:hAnsiTheme="minorHAnsi" w:cs="Tahoma"/>
          <w:sz w:val="23"/>
          <w:szCs w:val="23"/>
        </w:rPr>
      </w:pPr>
      <w:r w:rsidRPr="00C076A2">
        <w:rPr>
          <w:rFonts w:asciiTheme="minorHAnsi" w:hAnsiTheme="minorHAnsi" w:cs="Tahoma"/>
          <w:sz w:val="23"/>
          <w:szCs w:val="23"/>
        </w:rPr>
        <w:t xml:space="preserve">Şirketimiz tarafından, </w:t>
      </w:r>
      <w:r w:rsidR="00291F49">
        <w:rPr>
          <w:rFonts w:asciiTheme="minorHAnsi" w:hAnsiTheme="minorHAnsi" w:cs="Tahoma"/>
          <w:sz w:val="23"/>
          <w:szCs w:val="23"/>
        </w:rPr>
        <w:t xml:space="preserve">Bankacılık Düzenleme ve Denetleme Kurumu tarafından </w:t>
      </w:r>
      <w:r w:rsidR="00291F49" w:rsidRPr="00372884">
        <w:rPr>
          <w:rFonts w:asciiTheme="minorHAnsi" w:hAnsiTheme="minorHAnsi" w:cs="Tahoma"/>
          <w:sz w:val="23"/>
          <w:szCs w:val="23"/>
        </w:rPr>
        <w:t>24 Aralık 2013 tarih ve 28861 sayılı Resmi Gazete’de yayımlanarak yürürlüğe giren “</w:t>
      </w:r>
      <w:r w:rsidR="004C3404" w:rsidRPr="004C3404">
        <w:rPr>
          <w:rFonts w:asciiTheme="minorHAnsi" w:hAnsiTheme="minorHAnsi" w:cs="Tahoma"/>
          <w:sz w:val="23"/>
          <w:szCs w:val="23"/>
        </w:rPr>
        <w:t xml:space="preserve">Finansal Kiralama, </w:t>
      </w:r>
      <w:proofErr w:type="spellStart"/>
      <w:r w:rsidR="004C3404" w:rsidRPr="004C3404">
        <w:rPr>
          <w:rFonts w:asciiTheme="minorHAnsi" w:hAnsiTheme="minorHAnsi" w:cs="Tahoma"/>
          <w:sz w:val="23"/>
          <w:szCs w:val="23"/>
        </w:rPr>
        <w:t>Faktoring</w:t>
      </w:r>
      <w:proofErr w:type="spellEnd"/>
      <w:r w:rsidR="004C3404" w:rsidRPr="004C3404">
        <w:rPr>
          <w:rFonts w:asciiTheme="minorHAnsi" w:hAnsiTheme="minorHAnsi" w:cs="Tahoma"/>
          <w:sz w:val="23"/>
          <w:szCs w:val="23"/>
        </w:rPr>
        <w:t>,</w:t>
      </w:r>
      <w:r w:rsidR="00846147">
        <w:rPr>
          <w:rFonts w:asciiTheme="minorHAnsi" w:hAnsiTheme="minorHAnsi" w:cs="Tahoma"/>
          <w:sz w:val="23"/>
          <w:szCs w:val="23"/>
        </w:rPr>
        <w:t xml:space="preserve"> </w:t>
      </w:r>
      <w:r w:rsidR="004C3404" w:rsidRPr="004C3404">
        <w:rPr>
          <w:rFonts w:asciiTheme="minorHAnsi" w:hAnsiTheme="minorHAnsi" w:cs="Tahoma"/>
          <w:sz w:val="23"/>
          <w:szCs w:val="23"/>
        </w:rPr>
        <w:t>Finansman ve Tasarruf Finansman Şirketlerinin Muhasebe Uygulamaları ile Finansal Tabloları Hakkında Yönetmelik</w:t>
      </w:r>
      <w:r w:rsidR="00291F49" w:rsidRPr="00372884">
        <w:rPr>
          <w:rFonts w:asciiTheme="minorHAnsi" w:hAnsiTheme="minorHAnsi" w:cs="Tahoma"/>
          <w:sz w:val="23"/>
          <w:szCs w:val="23"/>
        </w:rPr>
        <w:t>” ve aynı gazetede yayımlanan “</w:t>
      </w:r>
      <w:r w:rsidR="004C3404" w:rsidRPr="004C3404">
        <w:rPr>
          <w:rFonts w:asciiTheme="minorHAnsi" w:hAnsiTheme="minorHAnsi" w:cs="Tahoma"/>
          <w:sz w:val="23"/>
          <w:szCs w:val="23"/>
        </w:rPr>
        <w:t>Finansal Kiralama, Faktoring, Finansman ve Tasarruf Finansman Şirketlerince Uygulanacak Tekdüzen Hesap Planı ve İzahnamesi Hakkında Tebliğ</w:t>
      </w:r>
      <w:r w:rsidR="00291F49" w:rsidRPr="00372884">
        <w:rPr>
          <w:rFonts w:asciiTheme="minorHAnsi" w:hAnsiTheme="minorHAnsi" w:cs="Tahoma"/>
          <w:sz w:val="23"/>
          <w:szCs w:val="23"/>
        </w:rPr>
        <w:t xml:space="preserve">” </w:t>
      </w:r>
      <w:r w:rsidR="00B3545A" w:rsidRPr="00B3545A">
        <w:rPr>
          <w:rFonts w:asciiTheme="minorHAnsi" w:hAnsiTheme="minorHAnsi" w:cs="Tahoma"/>
          <w:sz w:val="23"/>
          <w:szCs w:val="23"/>
        </w:rPr>
        <w:t xml:space="preserve">Kamu Gözetimi, Muhasebe ve Denetim Standartları Kurumu (“KGK”) tarafından yürürlüğe konulan Türkiye Muhasebe Standartları (“TMS”) ile Türkiye Finansal Raporlama Standartları (“TFRS”) ve bunlara ilişkin ek ve yorumlara ve BDDK tarafından muhasebe ve raporlama esaslarına ilişkin yayımlanan yönetmelik, tebliğ, açıklama ve </w:t>
      </w:r>
      <w:r w:rsidR="00B3545A" w:rsidRPr="00F40937">
        <w:rPr>
          <w:rFonts w:asciiTheme="minorHAnsi" w:hAnsiTheme="minorHAnsi" w:cs="Tahoma"/>
          <w:sz w:val="23"/>
          <w:szCs w:val="23"/>
        </w:rPr>
        <w:t>genelgelere (tümü “BDDK Muhasebe ve Finansal Raporlama Mevzuatı”) uygun olarak hazırlanan</w:t>
      </w:r>
      <w:r w:rsidRPr="00F40937">
        <w:rPr>
          <w:rFonts w:asciiTheme="minorHAnsi" w:hAnsiTheme="minorHAnsi" w:cs="Tahoma"/>
          <w:sz w:val="23"/>
          <w:szCs w:val="23"/>
        </w:rPr>
        <w:t xml:space="preserve"> ve </w:t>
      </w:r>
      <w:proofErr w:type="spellStart"/>
      <w:r w:rsidR="00846147" w:rsidRPr="00F40937">
        <w:rPr>
          <w:rFonts w:asciiTheme="minorHAnsi" w:hAnsiTheme="minorHAnsi" w:cs="Tahoma"/>
          <w:sz w:val="23"/>
          <w:szCs w:val="23"/>
        </w:rPr>
        <w:t>PwC</w:t>
      </w:r>
      <w:proofErr w:type="spellEnd"/>
      <w:r w:rsidR="00B263C0" w:rsidRPr="00F40937">
        <w:rPr>
          <w:rFonts w:asciiTheme="minorHAnsi" w:hAnsiTheme="minorHAnsi" w:cs="Tahoma"/>
          <w:sz w:val="23"/>
          <w:szCs w:val="23"/>
        </w:rPr>
        <w:t xml:space="preserve"> Bağımsız Denetim ve Serbest Muhasebeci Mali Müşavirlik Anonim Şirketi </w:t>
      </w:r>
      <w:r w:rsidRPr="00F40937">
        <w:rPr>
          <w:rFonts w:asciiTheme="minorHAnsi" w:hAnsiTheme="minorHAnsi" w:cs="Tahoma"/>
          <w:sz w:val="23"/>
          <w:szCs w:val="23"/>
        </w:rPr>
        <w:lastRenderedPageBreak/>
        <w:t>tarafından denetlenen 01.01.20</w:t>
      </w:r>
      <w:r w:rsidR="00D42CD7" w:rsidRPr="00F40937">
        <w:rPr>
          <w:rFonts w:asciiTheme="minorHAnsi" w:hAnsiTheme="minorHAnsi" w:cs="Tahoma"/>
          <w:sz w:val="23"/>
          <w:szCs w:val="23"/>
        </w:rPr>
        <w:t>2</w:t>
      </w:r>
      <w:r w:rsidR="00C016F5">
        <w:rPr>
          <w:rFonts w:asciiTheme="minorHAnsi" w:hAnsiTheme="minorHAnsi" w:cs="Tahoma"/>
          <w:sz w:val="23"/>
          <w:szCs w:val="23"/>
        </w:rPr>
        <w:t>5</w:t>
      </w:r>
      <w:r w:rsidRPr="00F40937">
        <w:rPr>
          <w:rFonts w:asciiTheme="minorHAnsi" w:hAnsiTheme="minorHAnsi" w:cs="Tahoma"/>
          <w:sz w:val="23"/>
          <w:szCs w:val="23"/>
        </w:rPr>
        <w:t>-31.12.20</w:t>
      </w:r>
      <w:r w:rsidR="00D42CD7" w:rsidRPr="00F40937">
        <w:rPr>
          <w:rFonts w:asciiTheme="minorHAnsi" w:hAnsiTheme="minorHAnsi" w:cs="Tahoma"/>
          <w:sz w:val="23"/>
          <w:szCs w:val="23"/>
        </w:rPr>
        <w:t>2</w:t>
      </w:r>
      <w:r w:rsidR="00C016F5">
        <w:rPr>
          <w:rFonts w:asciiTheme="minorHAnsi" w:hAnsiTheme="minorHAnsi" w:cs="Tahoma"/>
          <w:sz w:val="23"/>
          <w:szCs w:val="23"/>
        </w:rPr>
        <w:t>5</w:t>
      </w:r>
      <w:r w:rsidRPr="00F40937">
        <w:rPr>
          <w:rFonts w:asciiTheme="minorHAnsi" w:hAnsiTheme="minorHAnsi" w:cs="Tahoma"/>
          <w:sz w:val="23"/>
          <w:szCs w:val="23"/>
        </w:rPr>
        <w:t xml:space="preserve"> hesap dönemine ait finansal tablolarımızda yer alan karın dağıtım önerisi Genel Kurul</w:t>
      </w:r>
      <w:r w:rsidR="00265270" w:rsidRPr="00F40937">
        <w:rPr>
          <w:rFonts w:asciiTheme="minorHAnsi" w:hAnsiTheme="minorHAnsi" w:cs="Tahoma"/>
          <w:sz w:val="23"/>
          <w:szCs w:val="23"/>
        </w:rPr>
        <w:t>’</w:t>
      </w:r>
      <w:r w:rsidRPr="00F40937">
        <w:rPr>
          <w:rFonts w:asciiTheme="minorHAnsi" w:hAnsiTheme="minorHAnsi" w:cs="Tahoma"/>
          <w:sz w:val="23"/>
          <w:szCs w:val="23"/>
        </w:rPr>
        <w:t xml:space="preserve">un </w:t>
      </w:r>
      <w:r w:rsidR="00DF39D8" w:rsidRPr="00F40937">
        <w:rPr>
          <w:rFonts w:asciiTheme="minorHAnsi" w:hAnsiTheme="minorHAnsi" w:cs="Tahoma"/>
          <w:sz w:val="23"/>
          <w:szCs w:val="23"/>
        </w:rPr>
        <w:t>onayına</w:t>
      </w:r>
      <w:r w:rsidRPr="00F40937">
        <w:rPr>
          <w:rFonts w:asciiTheme="minorHAnsi" w:hAnsiTheme="minorHAnsi" w:cs="Tahoma"/>
          <w:sz w:val="23"/>
          <w:szCs w:val="23"/>
        </w:rPr>
        <w:t xml:space="preserve"> sunulacaktır. Konsolide mali tablolarda yer alan </w:t>
      </w:r>
      <w:r w:rsidR="003A2F4A" w:rsidRPr="003A2F4A">
        <w:rPr>
          <w:rFonts w:asciiTheme="minorHAnsi" w:hAnsiTheme="minorHAnsi" w:cs="Tahoma"/>
          <w:sz w:val="23"/>
          <w:szCs w:val="23"/>
        </w:rPr>
        <w:t>3.630.137.439</w:t>
      </w:r>
      <w:r w:rsidR="003A2F4A">
        <w:rPr>
          <w:rFonts w:asciiTheme="minorHAnsi" w:hAnsiTheme="minorHAnsi" w:cs="Tahoma"/>
          <w:sz w:val="23"/>
          <w:szCs w:val="23"/>
        </w:rPr>
        <w:t xml:space="preserve"> </w:t>
      </w:r>
      <w:r w:rsidRPr="00F40937">
        <w:rPr>
          <w:rFonts w:asciiTheme="minorHAnsi" w:hAnsiTheme="minorHAnsi" w:cs="Tahoma"/>
          <w:sz w:val="23"/>
          <w:szCs w:val="23"/>
        </w:rPr>
        <w:t xml:space="preserve">TL tutarındaki </w:t>
      </w:r>
      <w:r w:rsidR="0066135E" w:rsidRPr="00F40937">
        <w:rPr>
          <w:rFonts w:asciiTheme="minorHAnsi" w:hAnsiTheme="minorHAnsi" w:cs="Tahoma"/>
          <w:sz w:val="23"/>
          <w:szCs w:val="23"/>
        </w:rPr>
        <w:t xml:space="preserve">dağıtılabilir </w:t>
      </w:r>
      <w:r w:rsidRPr="00F40937">
        <w:rPr>
          <w:rFonts w:asciiTheme="minorHAnsi" w:hAnsiTheme="minorHAnsi" w:cs="Tahoma"/>
          <w:sz w:val="23"/>
          <w:szCs w:val="23"/>
        </w:rPr>
        <w:t>net dönem karın</w:t>
      </w:r>
      <w:r w:rsidR="00534C84" w:rsidRPr="00F40937">
        <w:rPr>
          <w:rFonts w:asciiTheme="minorHAnsi" w:hAnsiTheme="minorHAnsi" w:cs="Tahoma"/>
          <w:sz w:val="23"/>
          <w:szCs w:val="23"/>
        </w:rPr>
        <w:t>ın olağanüstü yedek olarak ayrılması</w:t>
      </w:r>
      <w:r w:rsidR="00EB1FDC" w:rsidRPr="00F40937">
        <w:rPr>
          <w:rFonts w:asciiTheme="minorHAnsi" w:hAnsiTheme="minorHAnsi" w:cs="Tahoma"/>
          <w:sz w:val="23"/>
          <w:szCs w:val="23"/>
        </w:rPr>
        <w:t xml:space="preserve"> </w:t>
      </w:r>
      <w:r w:rsidRPr="00F40937">
        <w:rPr>
          <w:rFonts w:asciiTheme="minorHAnsi" w:hAnsiTheme="minorHAnsi" w:cs="Tahoma"/>
          <w:sz w:val="23"/>
          <w:szCs w:val="23"/>
        </w:rPr>
        <w:t>Genel Kurul</w:t>
      </w:r>
      <w:r w:rsidR="00265270" w:rsidRPr="00F40937">
        <w:rPr>
          <w:rFonts w:asciiTheme="minorHAnsi" w:hAnsiTheme="minorHAnsi" w:cs="Tahoma"/>
          <w:sz w:val="23"/>
          <w:szCs w:val="23"/>
        </w:rPr>
        <w:t>’</w:t>
      </w:r>
      <w:r w:rsidRPr="00F40937">
        <w:rPr>
          <w:rFonts w:asciiTheme="minorHAnsi" w:hAnsiTheme="minorHAnsi" w:cs="Tahoma"/>
          <w:sz w:val="23"/>
          <w:szCs w:val="23"/>
        </w:rPr>
        <w:t>un onayına sunulacaktır.</w:t>
      </w:r>
    </w:p>
    <w:p w14:paraId="40DE7B0A" w14:textId="322309F9" w:rsidR="00534DAB" w:rsidRPr="00E271BC" w:rsidRDefault="00534DAB" w:rsidP="00405600">
      <w:pPr>
        <w:overflowPunct/>
        <w:autoSpaceDE/>
        <w:autoSpaceDN/>
        <w:adjustRightInd/>
        <w:ind w:left="567"/>
        <w:jc w:val="both"/>
        <w:textAlignment w:val="auto"/>
        <w:rPr>
          <w:rFonts w:asciiTheme="minorHAnsi" w:hAnsiTheme="minorHAnsi" w:cs="Tahoma"/>
          <w:sz w:val="12"/>
          <w:szCs w:val="23"/>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084"/>
        <w:gridCol w:w="3420"/>
        <w:gridCol w:w="2872"/>
      </w:tblGrid>
      <w:tr w:rsidR="003A2F4A" w:rsidRPr="00175B64" w14:paraId="0BE7EF7E" w14:textId="77777777" w:rsidTr="003A2F4A">
        <w:tc>
          <w:tcPr>
            <w:tcW w:w="10916" w:type="dxa"/>
            <w:gridSpan w:val="4"/>
            <w:vAlign w:val="bottom"/>
          </w:tcPr>
          <w:p w14:paraId="67037D39" w14:textId="77777777" w:rsidR="003A2F4A" w:rsidRPr="00175B64" w:rsidRDefault="003A2F4A" w:rsidP="00C81F3D">
            <w:pPr>
              <w:tabs>
                <w:tab w:val="left" w:pos="10927"/>
              </w:tabs>
              <w:ind w:left="263" w:right="57" w:hanging="263"/>
              <w:jc w:val="center"/>
              <w:rPr>
                <w:b/>
              </w:rPr>
            </w:pPr>
            <w:bookmarkStart w:id="1" w:name="_Hlk191550471"/>
            <w:r w:rsidRPr="00175B64">
              <w:rPr>
                <w:b/>
              </w:rPr>
              <w:t>İŞ FİNANSAL KİRALAMA A.Ş. 202</w:t>
            </w:r>
            <w:r>
              <w:rPr>
                <w:b/>
              </w:rPr>
              <w:t>5</w:t>
            </w:r>
            <w:r w:rsidRPr="00175B64">
              <w:rPr>
                <w:b/>
              </w:rPr>
              <w:t xml:space="preserve"> Yılı Kâr Payı Dağıtım Tablosu (TL)</w:t>
            </w:r>
          </w:p>
        </w:tc>
      </w:tr>
      <w:tr w:rsidR="003A2F4A" w:rsidRPr="00175B64" w14:paraId="7AB78B2F" w14:textId="77777777" w:rsidTr="003A2F4A">
        <w:tc>
          <w:tcPr>
            <w:tcW w:w="8044" w:type="dxa"/>
            <w:gridSpan w:val="3"/>
            <w:vAlign w:val="bottom"/>
          </w:tcPr>
          <w:p w14:paraId="5BDB6AF2" w14:textId="77777777" w:rsidR="003A2F4A" w:rsidRPr="00175B64" w:rsidRDefault="003A2F4A" w:rsidP="00C81F3D">
            <w:pPr>
              <w:ind w:right="57"/>
              <w:rPr>
                <w:b/>
              </w:rPr>
            </w:pPr>
            <w:r w:rsidRPr="00175B64">
              <w:rPr>
                <w:b/>
              </w:rPr>
              <w:t xml:space="preserve">   1. Ödenmiş/Çıkarılmış Sermaye</w:t>
            </w:r>
          </w:p>
        </w:tc>
        <w:tc>
          <w:tcPr>
            <w:tcW w:w="2872" w:type="dxa"/>
            <w:tcBorders>
              <w:top w:val="nil"/>
              <w:left w:val="nil"/>
              <w:bottom w:val="single" w:sz="8" w:space="0" w:color="auto"/>
              <w:right w:val="single" w:sz="8" w:space="0" w:color="auto"/>
            </w:tcBorders>
            <w:shd w:val="clear" w:color="auto" w:fill="auto"/>
            <w:vAlign w:val="bottom"/>
          </w:tcPr>
          <w:p w14:paraId="0BA2AC45" w14:textId="77777777" w:rsidR="003A2F4A" w:rsidRDefault="003A2F4A" w:rsidP="00C81F3D">
            <w:pPr>
              <w:overflowPunct/>
              <w:autoSpaceDE/>
              <w:autoSpaceDN/>
              <w:adjustRightInd/>
              <w:jc w:val="right"/>
              <w:textAlignment w:val="auto"/>
              <w:rPr>
                <w:b/>
                <w:bCs/>
                <w:color w:val="000000"/>
                <w:lang w:eastAsia="tr-TR"/>
              </w:rPr>
            </w:pPr>
            <w:r>
              <w:rPr>
                <w:b/>
                <w:bCs/>
                <w:color w:val="000000"/>
              </w:rPr>
              <w:t>695.302.645</w:t>
            </w:r>
          </w:p>
        </w:tc>
      </w:tr>
      <w:tr w:rsidR="003A2F4A" w:rsidRPr="00175B64" w14:paraId="51EBE0F6" w14:textId="77777777" w:rsidTr="003A2F4A">
        <w:tc>
          <w:tcPr>
            <w:tcW w:w="8044" w:type="dxa"/>
            <w:gridSpan w:val="3"/>
            <w:vAlign w:val="bottom"/>
          </w:tcPr>
          <w:p w14:paraId="6E638C26" w14:textId="77777777" w:rsidR="003A2F4A" w:rsidRPr="00175B64" w:rsidRDefault="003A2F4A" w:rsidP="00C81F3D">
            <w:pPr>
              <w:ind w:right="57"/>
              <w:rPr>
                <w:b/>
              </w:rPr>
            </w:pPr>
            <w:r w:rsidRPr="00175B64">
              <w:rPr>
                <w:b/>
              </w:rPr>
              <w:t xml:space="preserve">   2. Genel Kanuni Yedek Akçe (Yasal Kayıtlara Göre)</w:t>
            </w:r>
          </w:p>
        </w:tc>
        <w:tc>
          <w:tcPr>
            <w:tcW w:w="2872" w:type="dxa"/>
            <w:tcBorders>
              <w:top w:val="nil"/>
              <w:left w:val="nil"/>
              <w:bottom w:val="single" w:sz="8" w:space="0" w:color="auto"/>
              <w:right w:val="single" w:sz="8" w:space="0" w:color="auto"/>
            </w:tcBorders>
            <w:shd w:val="clear" w:color="auto" w:fill="auto"/>
            <w:vAlign w:val="bottom"/>
          </w:tcPr>
          <w:p w14:paraId="7C04743A" w14:textId="77777777" w:rsidR="003A2F4A" w:rsidRDefault="003A2F4A" w:rsidP="00C81F3D">
            <w:pPr>
              <w:jc w:val="right"/>
              <w:rPr>
                <w:b/>
                <w:bCs/>
                <w:color w:val="000000"/>
              </w:rPr>
            </w:pPr>
            <w:r>
              <w:rPr>
                <w:b/>
                <w:bCs/>
                <w:color w:val="000000"/>
              </w:rPr>
              <w:t>139.060.529</w:t>
            </w:r>
          </w:p>
        </w:tc>
      </w:tr>
      <w:tr w:rsidR="003A2F4A" w:rsidRPr="00175B64" w14:paraId="2FE05F7E" w14:textId="77777777" w:rsidTr="003A2F4A">
        <w:tc>
          <w:tcPr>
            <w:tcW w:w="8044" w:type="dxa"/>
            <w:gridSpan w:val="3"/>
            <w:vAlign w:val="bottom"/>
          </w:tcPr>
          <w:p w14:paraId="61221C00" w14:textId="77777777" w:rsidR="003A2F4A" w:rsidRPr="00175B64" w:rsidRDefault="003A2F4A" w:rsidP="00C81F3D">
            <w:pPr>
              <w:ind w:left="121" w:right="57" w:hanging="121"/>
              <w:rPr>
                <w:b/>
              </w:rPr>
            </w:pPr>
            <w:r w:rsidRPr="00175B64">
              <w:rPr>
                <w:b/>
              </w:rPr>
              <w:t xml:space="preserve"> </w:t>
            </w:r>
            <w:r>
              <w:rPr>
                <w:b/>
              </w:rPr>
              <w:t xml:space="preserve"> </w:t>
            </w:r>
            <w:r w:rsidRPr="00175B64">
              <w:rPr>
                <w:b/>
              </w:rPr>
              <w:t xml:space="preserve"> Esas sözleşme uyarınca kar dağıtımda imtiyaz var ise söz konusu imtiyaza ilişkin bilgi</w:t>
            </w:r>
          </w:p>
        </w:tc>
        <w:tc>
          <w:tcPr>
            <w:tcW w:w="2872" w:type="dxa"/>
            <w:vAlign w:val="bottom"/>
          </w:tcPr>
          <w:p w14:paraId="749915A5" w14:textId="77777777" w:rsidR="003A2F4A" w:rsidRPr="00175B64" w:rsidRDefault="003A2F4A" w:rsidP="00C81F3D">
            <w:pPr>
              <w:ind w:right="57"/>
              <w:jc w:val="right"/>
              <w:rPr>
                <w:b/>
              </w:rPr>
            </w:pPr>
          </w:p>
        </w:tc>
      </w:tr>
      <w:tr w:rsidR="003A2F4A" w:rsidRPr="00175B64" w14:paraId="6E07B682" w14:textId="77777777" w:rsidTr="003A2F4A">
        <w:trPr>
          <w:trHeight w:val="313"/>
        </w:trPr>
        <w:tc>
          <w:tcPr>
            <w:tcW w:w="4624" w:type="dxa"/>
            <w:gridSpan w:val="2"/>
          </w:tcPr>
          <w:p w14:paraId="4DBC24B0" w14:textId="77777777" w:rsidR="003A2F4A" w:rsidRPr="00175B64" w:rsidRDefault="003A2F4A" w:rsidP="00C81F3D">
            <w:pPr>
              <w:ind w:right="57"/>
            </w:pPr>
          </w:p>
        </w:tc>
        <w:tc>
          <w:tcPr>
            <w:tcW w:w="3420" w:type="dxa"/>
            <w:vAlign w:val="bottom"/>
          </w:tcPr>
          <w:p w14:paraId="45D84B74" w14:textId="77777777" w:rsidR="003A2F4A" w:rsidRPr="00175B64" w:rsidRDefault="003A2F4A" w:rsidP="00C81F3D">
            <w:pPr>
              <w:ind w:right="57"/>
              <w:jc w:val="center"/>
            </w:pPr>
            <w:r w:rsidRPr="00175B64">
              <w:t>SPK’ya Göre (*)</w:t>
            </w:r>
          </w:p>
        </w:tc>
        <w:tc>
          <w:tcPr>
            <w:tcW w:w="2872" w:type="dxa"/>
            <w:vAlign w:val="bottom"/>
          </w:tcPr>
          <w:p w14:paraId="15D380FA" w14:textId="77777777" w:rsidR="003A2F4A" w:rsidRPr="00175B64" w:rsidRDefault="003A2F4A" w:rsidP="00C81F3D">
            <w:pPr>
              <w:ind w:right="57"/>
              <w:jc w:val="center"/>
            </w:pPr>
            <w:r w:rsidRPr="00175B64">
              <w:t xml:space="preserve">Yasal Kayıtlara (YK) Göre </w:t>
            </w:r>
          </w:p>
        </w:tc>
      </w:tr>
      <w:tr w:rsidR="003A2F4A" w:rsidRPr="00175B64" w14:paraId="03955765" w14:textId="77777777" w:rsidTr="003A2F4A">
        <w:trPr>
          <w:trHeight w:val="313"/>
        </w:trPr>
        <w:tc>
          <w:tcPr>
            <w:tcW w:w="540" w:type="dxa"/>
          </w:tcPr>
          <w:p w14:paraId="38F18234" w14:textId="77777777" w:rsidR="003A2F4A" w:rsidRPr="00175B64" w:rsidRDefault="003A2F4A" w:rsidP="00C81F3D">
            <w:pPr>
              <w:ind w:right="-81"/>
              <w:jc w:val="center"/>
              <w:rPr>
                <w:b/>
              </w:rPr>
            </w:pPr>
            <w:r w:rsidRPr="00175B64">
              <w:rPr>
                <w:b/>
              </w:rPr>
              <w:t>3.</w:t>
            </w:r>
          </w:p>
        </w:tc>
        <w:tc>
          <w:tcPr>
            <w:tcW w:w="4084" w:type="dxa"/>
            <w:vAlign w:val="center"/>
          </w:tcPr>
          <w:p w14:paraId="241CCACD" w14:textId="77777777" w:rsidR="003A2F4A" w:rsidRPr="00175B64" w:rsidRDefault="003A2F4A" w:rsidP="00C81F3D">
            <w:pPr>
              <w:ind w:left="6" w:right="57"/>
              <w:rPr>
                <w:b/>
              </w:rPr>
            </w:pPr>
            <w:r w:rsidRPr="00175B64">
              <w:rPr>
                <w:b/>
              </w:rPr>
              <w:t>Dönem Kârı</w:t>
            </w:r>
          </w:p>
        </w:tc>
        <w:tc>
          <w:tcPr>
            <w:tcW w:w="3420" w:type="dxa"/>
            <w:tcBorders>
              <w:top w:val="nil"/>
              <w:left w:val="nil"/>
              <w:bottom w:val="single" w:sz="8" w:space="0" w:color="auto"/>
              <w:right w:val="single" w:sz="8" w:space="0" w:color="auto"/>
            </w:tcBorders>
            <w:shd w:val="clear" w:color="auto" w:fill="auto"/>
            <w:vAlign w:val="center"/>
          </w:tcPr>
          <w:p w14:paraId="7F9CE001" w14:textId="77777777" w:rsidR="003A2F4A" w:rsidRDefault="003A2F4A" w:rsidP="00C81F3D">
            <w:pPr>
              <w:overflowPunct/>
              <w:autoSpaceDE/>
              <w:autoSpaceDN/>
              <w:adjustRightInd/>
              <w:jc w:val="center"/>
              <w:textAlignment w:val="auto"/>
              <w:rPr>
                <w:color w:val="000000"/>
                <w:lang w:eastAsia="tr-TR"/>
              </w:rPr>
            </w:pPr>
            <w:r>
              <w:rPr>
                <w:color w:val="000000"/>
              </w:rPr>
              <w:t>5.208.115.016</w:t>
            </w:r>
          </w:p>
        </w:tc>
        <w:tc>
          <w:tcPr>
            <w:tcW w:w="2872" w:type="dxa"/>
            <w:tcBorders>
              <w:top w:val="nil"/>
              <w:left w:val="nil"/>
              <w:bottom w:val="single" w:sz="8" w:space="0" w:color="auto"/>
              <w:right w:val="single" w:sz="8" w:space="0" w:color="auto"/>
            </w:tcBorders>
            <w:shd w:val="clear" w:color="auto" w:fill="auto"/>
            <w:vAlign w:val="center"/>
          </w:tcPr>
          <w:p w14:paraId="404A75C8" w14:textId="77777777" w:rsidR="003A2F4A" w:rsidRDefault="003A2F4A" w:rsidP="00C81F3D">
            <w:pPr>
              <w:jc w:val="center"/>
              <w:rPr>
                <w:color w:val="000000"/>
              </w:rPr>
            </w:pPr>
            <w:r>
              <w:rPr>
                <w:color w:val="000000"/>
              </w:rPr>
              <w:t>2.886.250.601</w:t>
            </w:r>
          </w:p>
        </w:tc>
      </w:tr>
      <w:tr w:rsidR="003A2F4A" w:rsidRPr="00175B64" w14:paraId="0C031CB8" w14:textId="77777777" w:rsidTr="003A2F4A">
        <w:tc>
          <w:tcPr>
            <w:tcW w:w="540" w:type="dxa"/>
          </w:tcPr>
          <w:p w14:paraId="13467A16" w14:textId="77777777" w:rsidR="003A2F4A" w:rsidRPr="00175B64" w:rsidRDefault="003A2F4A" w:rsidP="00C81F3D">
            <w:pPr>
              <w:ind w:right="-81"/>
              <w:jc w:val="center"/>
              <w:rPr>
                <w:b/>
              </w:rPr>
            </w:pPr>
            <w:r w:rsidRPr="00175B64">
              <w:rPr>
                <w:b/>
              </w:rPr>
              <w:t>4.</w:t>
            </w:r>
          </w:p>
        </w:tc>
        <w:tc>
          <w:tcPr>
            <w:tcW w:w="4084" w:type="dxa"/>
            <w:vAlign w:val="bottom"/>
          </w:tcPr>
          <w:p w14:paraId="11C660E8" w14:textId="77777777" w:rsidR="003A2F4A" w:rsidRPr="00175B64" w:rsidRDefault="003A2F4A" w:rsidP="00C81F3D">
            <w:pPr>
              <w:ind w:left="6" w:right="57"/>
              <w:rPr>
                <w:b/>
              </w:rPr>
            </w:pPr>
            <w:r w:rsidRPr="00175B64">
              <w:rPr>
                <w:b/>
              </w:rPr>
              <w:t xml:space="preserve">Vergiler </w:t>
            </w:r>
            <w:proofErr w:type="gramStart"/>
            <w:r w:rsidRPr="00175B64">
              <w:rPr>
                <w:b/>
              </w:rPr>
              <w:t>( -</w:t>
            </w:r>
            <w:proofErr w:type="gramEnd"/>
            <w:r w:rsidRPr="00175B64">
              <w:rPr>
                <w:b/>
              </w:rPr>
              <w:t xml:space="preserve"> ) </w:t>
            </w:r>
          </w:p>
        </w:tc>
        <w:tc>
          <w:tcPr>
            <w:tcW w:w="3420" w:type="dxa"/>
            <w:tcBorders>
              <w:top w:val="nil"/>
              <w:left w:val="nil"/>
              <w:bottom w:val="single" w:sz="8" w:space="0" w:color="auto"/>
              <w:right w:val="single" w:sz="8" w:space="0" w:color="auto"/>
            </w:tcBorders>
            <w:shd w:val="clear" w:color="auto" w:fill="auto"/>
            <w:vAlign w:val="center"/>
          </w:tcPr>
          <w:p w14:paraId="02805FA1" w14:textId="77777777" w:rsidR="003A2F4A" w:rsidRDefault="003A2F4A" w:rsidP="00C81F3D">
            <w:pPr>
              <w:jc w:val="center"/>
              <w:rPr>
                <w:color w:val="000000"/>
              </w:rPr>
            </w:pPr>
            <w:r>
              <w:rPr>
                <w:color w:val="000000"/>
              </w:rPr>
              <w:t>1.577.977.577</w:t>
            </w:r>
          </w:p>
        </w:tc>
        <w:tc>
          <w:tcPr>
            <w:tcW w:w="2872" w:type="dxa"/>
            <w:tcBorders>
              <w:top w:val="nil"/>
              <w:left w:val="nil"/>
              <w:bottom w:val="single" w:sz="8" w:space="0" w:color="auto"/>
              <w:right w:val="single" w:sz="8" w:space="0" w:color="auto"/>
            </w:tcBorders>
            <w:shd w:val="clear" w:color="auto" w:fill="auto"/>
            <w:vAlign w:val="center"/>
          </w:tcPr>
          <w:p w14:paraId="11E15193" w14:textId="77777777" w:rsidR="003A2F4A" w:rsidRDefault="003A2F4A" w:rsidP="00C81F3D">
            <w:pPr>
              <w:jc w:val="center"/>
              <w:rPr>
                <w:color w:val="000000"/>
              </w:rPr>
            </w:pPr>
            <w:r>
              <w:rPr>
                <w:color w:val="000000"/>
              </w:rPr>
              <w:t>813.431.577</w:t>
            </w:r>
          </w:p>
        </w:tc>
      </w:tr>
      <w:tr w:rsidR="003A2F4A" w:rsidRPr="00175B64" w14:paraId="4722DB6B" w14:textId="77777777" w:rsidTr="003A2F4A">
        <w:trPr>
          <w:trHeight w:val="294"/>
        </w:trPr>
        <w:tc>
          <w:tcPr>
            <w:tcW w:w="540" w:type="dxa"/>
          </w:tcPr>
          <w:p w14:paraId="6E717EAE" w14:textId="77777777" w:rsidR="003A2F4A" w:rsidRPr="00175B64" w:rsidRDefault="003A2F4A" w:rsidP="00C81F3D">
            <w:pPr>
              <w:ind w:right="-81"/>
              <w:jc w:val="center"/>
              <w:rPr>
                <w:b/>
              </w:rPr>
            </w:pPr>
            <w:r w:rsidRPr="00175B64">
              <w:rPr>
                <w:b/>
              </w:rPr>
              <w:t>5.</w:t>
            </w:r>
          </w:p>
        </w:tc>
        <w:tc>
          <w:tcPr>
            <w:tcW w:w="4084" w:type="dxa"/>
            <w:vAlign w:val="bottom"/>
          </w:tcPr>
          <w:p w14:paraId="1315D020" w14:textId="77777777" w:rsidR="003A2F4A" w:rsidRPr="00175B64" w:rsidRDefault="003A2F4A" w:rsidP="00C81F3D">
            <w:pPr>
              <w:ind w:left="6" w:right="57"/>
              <w:rPr>
                <w:b/>
              </w:rPr>
            </w:pPr>
            <w:r w:rsidRPr="00175B64">
              <w:rPr>
                <w:b/>
              </w:rPr>
              <w:t xml:space="preserve">Net Dönem Kârı </w:t>
            </w:r>
            <w:proofErr w:type="gramStart"/>
            <w:r w:rsidRPr="00175B64">
              <w:rPr>
                <w:b/>
              </w:rPr>
              <w:t>( =</w:t>
            </w:r>
            <w:proofErr w:type="gramEnd"/>
            <w:r w:rsidRPr="00175B64">
              <w:rPr>
                <w:b/>
              </w:rPr>
              <w:t xml:space="preserve"> )</w:t>
            </w:r>
          </w:p>
        </w:tc>
        <w:tc>
          <w:tcPr>
            <w:tcW w:w="3420" w:type="dxa"/>
            <w:tcBorders>
              <w:top w:val="nil"/>
              <w:left w:val="nil"/>
              <w:bottom w:val="single" w:sz="8" w:space="0" w:color="auto"/>
              <w:right w:val="single" w:sz="8" w:space="0" w:color="auto"/>
            </w:tcBorders>
            <w:shd w:val="clear" w:color="auto" w:fill="auto"/>
            <w:vAlign w:val="center"/>
          </w:tcPr>
          <w:p w14:paraId="46DE194A" w14:textId="77777777" w:rsidR="003A2F4A" w:rsidRDefault="003A2F4A" w:rsidP="00C81F3D">
            <w:pPr>
              <w:jc w:val="center"/>
              <w:rPr>
                <w:color w:val="000000"/>
              </w:rPr>
            </w:pPr>
            <w:r>
              <w:rPr>
                <w:color w:val="000000"/>
              </w:rPr>
              <w:t>3.630.137.439</w:t>
            </w:r>
          </w:p>
        </w:tc>
        <w:tc>
          <w:tcPr>
            <w:tcW w:w="2872" w:type="dxa"/>
            <w:tcBorders>
              <w:top w:val="nil"/>
              <w:left w:val="nil"/>
              <w:bottom w:val="single" w:sz="8" w:space="0" w:color="auto"/>
              <w:right w:val="single" w:sz="8" w:space="0" w:color="auto"/>
            </w:tcBorders>
            <w:shd w:val="clear" w:color="auto" w:fill="auto"/>
            <w:vAlign w:val="center"/>
          </w:tcPr>
          <w:p w14:paraId="517D1887" w14:textId="77777777" w:rsidR="003A2F4A" w:rsidRDefault="003A2F4A" w:rsidP="00C81F3D">
            <w:pPr>
              <w:jc w:val="center"/>
              <w:rPr>
                <w:color w:val="000000"/>
              </w:rPr>
            </w:pPr>
            <w:r>
              <w:rPr>
                <w:color w:val="000000"/>
              </w:rPr>
              <w:t>2.072.819.024</w:t>
            </w:r>
          </w:p>
        </w:tc>
      </w:tr>
      <w:tr w:rsidR="003A2F4A" w:rsidRPr="00175B64" w14:paraId="48244E15" w14:textId="77777777" w:rsidTr="003A2F4A">
        <w:tc>
          <w:tcPr>
            <w:tcW w:w="540" w:type="dxa"/>
          </w:tcPr>
          <w:p w14:paraId="1F4872B0" w14:textId="77777777" w:rsidR="003A2F4A" w:rsidRPr="00175B64" w:rsidRDefault="003A2F4A" w:rsidP="00C81F3D">
            <w:pPr>
              <w:ind w:right="-81"/>
              <w:jc w:val="center"/>
              <w:rPr>
                <w:b/>
              </w:rPr>
            </w:pPr>
            <w:r w:rsidRPr="00175B64">
              <w:rPr>
                <w:b/>
              </w:rPr>
              <w:t>6.</w:t>
            </w:r>
          </w:p>
        </w:tc>
        <w:tc>
          <w:tcPr>
            <w:tcW w:w="4084" w:type="dxa"/>
            <w:vAlign w:val="bottom"/>
          </w:tcPr>
          <w:p w14:paraId="3964831C" w14:textId="77777777" w:rsidR="003A2F4A" w:rsidRPr="00175B64" w:rsidRDefault="003A2F4A" w:rsidP="00C81F3D">
            <w:pPr>
              <w:ind w:left="6" w:right="57"/>
              <w:rPr>
                <w:b/>
              </w:rPr>
            </w:pPr>
            <w:r w:rsidRPr="00175B64">
              <w:rPr>
                <w:b/>
              </w:rPr>
              <w:t xml:space="preserve">Geçmiş Yıllar Zararları </w:t>
            </w:r>
            <w:proofErr w:type="gramStart"/>
            <w:r w:rsidRPr="00175B64">
              <w:rPr>
                <w:b/>
              </w:rPr>
              <w:t>( -</w:t>
            </w:r>
            <w:proofErr w:type="gramEnd"/>
            <w:r w:rsidRPr="00175B64">
              <w:rPr>
                <w:b/>
              </w:rPr>
              <w:t xml:space="preserve"> )</w:t>
            </w:r>
          </w:p>
        </w:tc>
        <w:tc>
          <w:tcPr>
            <w:tcW w:w="3420" w:type="dxa"/>
            <w:tcBorders>
              <w:top w:val="nil"/>
              <w:left w:val="nil"/>
              <w:bottom w:val="single" w:sz="8" w:space="0" w:color="auto"/>
              <w:right w:val="single" w:sz="8" w:space="0" w:color="auto"/>
            </w:tcBorders>
            <w:shd w:val="clear" w:color="auto" w:fill="auto"/>
            <w:vAlign w:val="center"/>
          </w:tcPr>
          <w:p w14:paraId="60069359" w14:textId="77777777" w:rsidR="003A2F4A" w:rsidRDefault="003A2F4A" w:rsidP="00C81F3D">
            <w:pPr>
              <w:jc w:val="center"/>
              <w:rPr>
                <w:color w:val="000000"/>
              </w:rPr>
            </w:pPr>
            <w:r>
              <w:rPr>
                <w:color w:val="000000"/>
              </w:rPr>
              <w:t>-</w:t>
            </w:r>
          </w:p>
        </w:tc>
        <w:tc>
          <w:tcPr>
            <w:tcW w:w="2872" w:type="dxa"/>
            <w:tcBorders>
              <w:top w:val="nil"/>
              <w:left w:val="nil"/>
              <w:bottom w:val="single" w:sz="8" w:space="0" w:color="auto"/>
              <w:right w:val="single" w:sz="8" w:space="0" w:color="auto"/>
            </w:tcBorders>
            <w:shd w:val="clear" w:color="auto" w:fill="auto"/>
            <w:vAlign w:val="center"/>
          </w:tcPr>
          <w:p w14:paraId="774FB6CA" w14:textId="77777777" w:rsidR="003A2F4A" w:rsidRDefault="003A2F4A" w:rsidP="00C81F3D">
            <w:pPr>
              <w:jc w:val="center"/>
              <w:rPr>
                <w:color w:val="000000"/>
              </w:rPr>
            </w:pPr>
            <w:r>
              <w:rPr>
                <w:color w:val="000000"/>
              </w:rPr>
              <w:t>-</w:t>
            </w:r>
          </w:p>
        </w:tc>
      </w:tr>
      <w:tr w:rsidR="003A2F4A" w:rsidRPr="00175B64" w14:paraId="7B802C97" w14:textId="77777777" w:rsidTr="003A2F4A">
        <w:tc>
          <w:tcPr>
            <w:tcW w:w="540" w:type="dxa"/>
          </w:tcPr>
          <w:p w14:paraId="33D44848" w14:textId="77777777" w:rsidR="003A2F4A" w:rsidRPr="00175B64" w:rsidRDefault="003A2F4A" w:rsidP="00C81F3D">
            <w:pPr>
              <w:ind w:right="-81"/>
              <w:jc w:val="center"/>
              <w:rPr>
                <w:b/>
              </w:rPr>
            </w:pPr>
            <w:r w:rsidRPr="00175B64">
              <w:rPr>
                <w:b/>
              </w:rPr>
              <w:t>7.</w:t>
            </w:r>
          </w:p>
        </w:tc>
        <w:tc>
          <w:tcPr>
            <w:tcW w:w="4084" w:type="dxa"/>
            <w:vAlign w:val="bottom"/>
          </w:tcPr>
          <w:p w14:paraId="71E5C506" w14:textId="77777777" w:rsidR="003A2F4A" w:rsidRPr="00175B64" w:rsidRDefault="003A2F4A" w:rsidP="00C81F3D">
            <w:pPr>
              <w:ind w:left="6" w:right="57"/>
              <w:rPr>
                <w:b/>
              </w:rPr>
            </w:pPr>
            <w:r w:rsidRPr="00175B64">
              <w:rPr>
                <w:b/>
              </w:rPr>
              <w:t xml:space="preserve">Genel Kanuni Yedek Akçe </w:t>
            </w:r>
            <w:proofErr w:type="gramStart"/>
            <w:r w:rsidRPr="00175B64">
              <w:rPr>
                <w:b/>
              </w:rPr>
              <w:t>( -</w:t>
            </w:r>
            <w:proofErr w:type="gramEnd"/>
            <w:r w:rsidRPr="00175B64">
              <w:rPr>
                <w:b/>
              </w:rPr>
              <w:t xml:space="preserve"> ) (**)</w:t>
            </w:r>
          </w:p>
        </w:tc>
        <w:tc>
          <w:tcPr>
            <w:tcW w:w="3420" w:type="dxa"/>
            <w:tcBorders>
              <w:top w:val="nil"/>
              <w:left w:val="nil"/>
              <w:bottom w:val="single" w:sz="8" w:space="0" w:color="auto"/>
              <w:right w:val="single" w:sz="8" w:space="0" w:color="auto"/>
            </w:tcBorders>
            <w:shd w:val="clear" w:color="auto" w:fill="auto"/>
            <w:vAlign w:val="center"/>
          </w:tcPr>
          <w:p w14:paraId="16C47357" w14:textId="77777777" w:rsidR="003A2F4A" w:rsidRDefault="003A2F4A" w:rsidP="00C81F3D">
            <w:pPr>
              <w:jc w:val="center"/>
              <w:rPr>
                <w:color w:val="000000"/>
              </w:rPr>
            </w:pPr>
            <w:r>
              <w:rPr>
                <w:color w:val="000000"/>
              </w:rPr>
              <w:t>-</w:t>
            </w:r>
          </w:p>
        </w:tc>
        <w:tc>
          <w:tcPr>
            <w:tcW w:w="2872" w:type="dxa"/>
            <w:tcBorders>
              <w:top w:val="nil"/>
              <w:left w:val="nil"/>
              <w:bottom w:val="single" w:sz="8" w:space="0" w:color="auto"/>
              <w:right w:val="single" w:sz="8" w:space="0" w:color="auto"/>
            </w:tcBorders>
            <w:shd w:val="clear" w:color="auto" w:fill="auto"/>
            <w:vAlign w:val="center"/>
          </w:tcPr>
          <w:p w14:paraId="09898356" w14:textId="77777777" w:rsidR="003A2F4A" w:rsidRDefault="003A2F4A" w:rsidP="00C81F3D">
            <w:pPr>
              <w:jc w:val="center"/>
              <w:rPr>
                <w:color w:val="000000"/>
              </w:rPr>
            </w:pPr>
            <w:r>
              <w:rPr>
                <w:color w:val="000000"/>
              </w:rPr>
              <w:t>-</w:t>
            </w:r>
          </w:p>
        </w:tc>
      </w:tr>
      <w:tr w:rsidR="003A2F4A" w:rsidRPr="00175B64" w14:paraId="14CAEFF0" w14:textId="77777777" w:rsidTr="003A2F4A">
        <w:trPr>
          <w:trHeight w:val="107"/>
        </w:trPr>
        <w:tc>
          <w:tcPr>
            <w:tcW w:w="540" w:type="dxa"/>
          </w:tcPr>
          <w:p w14:paraId="7F3B9F74" w14:textId="77777777" w:rsidR="003A2F4A" w:rsidRPr="00175B64" w:rsidRDefault="003A2F4A" w:rsidP="00C81F3D">
            <w:pPr>
              <w:ind w:right="-81"/>
              <w:jc w:val="center"/>
              <w:rPr>
                <w:b/>
              </w:rPr>
            </w:pPr>
            <w:r w:rsidRPr="00175B64">
              <w:rPr>
                <w:b/>
              </w:rPr>
              <w:t>8.</w:t>
            </w:r>
          </w:p>
        </w:tc>
        <w:tc>
          <w:tcPr>
            <w:tcW w:w="4084" w:type="dxa"/>
            <w:vAlign w:val="bottom"/>
          </w:tcPr>
          <w:p w14:paraId="2D61160F" w14:textId="77777777" w:rsidR="003A2F4A" w:rsidRPr="00175B64" w:rsidRDefault="003A2F4A" w:rsidP="00C81F3D">
            <w:pPr>
              <w:ind w:left="6" w:right="57"/>
              <w:rPr>
                <w:b/>
                <w:bCs/>
              </w:rPr>
            </w:pPr>
            <w:r w:rsidRPr="00175B64">
              <w:rPr>
                <w:b/>
                <w:bCs/>
              </w:rPr>
              <w:t xml:space="preserve">NET DAĞITILABİLİR </w:t>
            </w:r>
          </w:p>
          <w:p w14:paraId="00980D1A" w14:textId="77777777" w:rsidR="003A2F4A" w:rsidRPr="00175B64" w:rsidRDefault="003A2F4A" w:rsidP="00C81F3D">
            <w:pPr>
              <w:ind w:left="6" w:right="57"/>
              <w:rPr>
                <w:b/>
                <w:bCs/>
              </w:rPr>
            </w:pPr>
            <w:r w:rsidRPr="00175B64">
              <w:rPr>
                <w:b/>
                <w:bCs/>
              </w:rPr>
              <w:t>DÖNEM KÂRI (=)</w:t>
            </w:r>
          </w:p>
        </w:tc>
        <w:tc>
          <w:tcPr>
            <w:tcW w:w="3420" w:type="dxa"/>
            <w:tcBorders>
              <w:top w:val="nil"/>
              <w:left w:val="single" w:sz="8" w:space="0" w:color="auto"/>
              <w:bottom w:val="single" w:sz="8" w:space="0" w:color="000000"/>
              <w:right w:val="single" w:sz="8" w:space="0" w:color="auto"/>
            </w:tcBorders>
            <w:shd w:val="clear" w:color="auto" w:fill="auto"/>
            <w:vAlign w:val="center"/>
          </w:tcPr>
          <w:p w14:paraId="643B5524" w14:textId="77777777" w:rsidR="003A2F4A" w:rsidRDefault="003A2F4A" w:rsidP="00C81F3D">
            <w:pPr>
              <w:jc w:val="center"/>
              <w:rPr>
                <w:color w:val="000000"/>
              </w:rPr>
            </w:pPr>
            <w:r>
              <w:rPr>
                <w:color w:val="000000"/>
              </w:rPr>
              <w:t>3.630.137.439</w:t>
            </w:r>
          </w:p>
        </w:tc>
        <w:tc>
          <w:tcPr>
            <w:tcW w:w="2872" w:type="dxa"/>
            <w:tcBorders>
              <w:top w:val="nil"/>
              <w:left w:val="single" w:sz="8" w:space="0" w:color="auto"/>
              <w:bottom w:val="single" w:sz="8" w:space="0" w:color="000000"/>
              <w:right w:val="single" w:sz="8" w:space="0" w:color="auto"/>
            </w:tcBorders>
            <w:shd w:val="clear" w:color="auto" w:fill="auto"/>
            <w:vAlign w:val="center"/>
          </w:tcPr>
          <w:p w14:paraId="533E36D8" w14:textId="77777777" w:rsidR="003A2F4A" w:rsidRDefault="003A2F4A" w:rsidP="00C81F3D">
            <w:pPr>
              <w:jc w:val="center"/>
              <w:rPr>
                <w:color w:val="000000"/>
              </w:rPr>
            </w:pPr>
            <w:r>
              <w:rPr>
                <w:color w:val="000000"/>
              </w:rPr>
              <w:t>2.072.819.024</w:t>
            </w:r>
          </w:p>
        </w:tc>
      </w:tr>
      <w:tr w:rsidR="003A2F4A" w:rsidRPr="00175B64" w14:paraId="03D5C239" w14:textId="77777777" w:rsidTr="003A2F4A">
        <w:trPr>
          <w:trHeight w:val="132"/>
        </w:trPr>
        <w:tc>
          <w:tcPr>
            <w:tcW w:w="540" w:type="dxa"/>
          </w:tcPr>
          <w:p w14:paraId="48637A24" w14:textId="77777777" w:rsidR="003A2F4A" w:rsidRPr="00175B64" w:rsidRDefault="003A2F4A" w:rsidP="00C81F3D">
            <w:pPr>
              <w:ind w:right="-81"/>
              <w:jc w:val="center"/>
              <w:rPr>
                <w:b/>
              </w:rPr>
            </w:pPr>
            <w:r w:rsidRPr="00175B64">
              <w:rPr>
                <w:b/>
              </w:rPr>
              <w:t>9.</w:t>
            </w:r>
          </w:p>
        </w:tc>
        <w:tc>
          <w:tcPr>
            <w:tcW w:w="4084" w:type="dxa"/>
            <w:vAlign w:val="bottom"/>
          </w:tcPr>
          <w:p w14:paraId="2B519A82" w14:textId="77777777" w:rsidR="003A2F4A" w:rsidRPr="00175B64" w:rsidRDefault="003A2F4A" w:rsidP="00C81F3D">
            <w:pPr>
              <w:ind w:left="6" w:right="57"/>
            </w:pPr>
            <w:r w:rsidRPr="00175B64">
              <w:t xml:space="preserve">Yıl içinde yapılan bağışlar </w:t>
            </w:r>
            <w:proofErr w:type="gramStart"/>
            <w:r w:rsidRPr="00175B64">
              <w:rPr>
                <w:b/>
              </w:rPr>
              <w:t>( +</w:t>
            </w:r>
            <w:proofErr w:type="gramEnd"/>
            <w:r w:rsidRPr="00175B64">
              <w:rPr>
                <w:b/>
              </w:rPr>
              <w:t xml:space="preserve"> )</w:t>
            </w:r>
          </w:p>
        </w:tc>
        <w:tc>
          <w:tcPr>
            <w:tcW w:w="3420" w:type="dxa"/>
            <w:tcBorders>
              <w:top w:val="nil"/>
              <w:left w:val="single" w:sz="8" w:space="0" w:color="auto"/>
              <w:bottom w:val="single" w:sz="8" w:space="0" w:color="000000"/>
              <w:right w:val="single" w:sz="8" w:space="0" w:color="auto"/>
            </w:tcBorders>
            <w:vAlign w:val="center"/>
          </w:tcPr>
          <w:p w14:paraId="74A1487D" w14:textId="77777777" w:rsidR="003A2F4A" w:rsidRPr="00175B64" w:rsidRDefault="003A2F4A" w:rsidP="00C81F3D">
            <w:pPr>
              <w:jc w:val="center"/>
              <w:rPr>
                <w:color w:val="000000"/>
              </w:rPr>
            </w:pPr>
            <w:r w:rsidRPr="00A32C79">
              <w:rPr>
                <w:color w:val="000000"/>
              </w:rPr>
              <w:t>694.860</w:t>
            </w:r>
          </w:p>
        </w:tc>
        <w:tc>
          <w:tcPr>
            <w:tcW w:w="2872" w:type="dxa"/>
            <w:shd w:val="clear" w:color="auto" w:fill="7F7F7F"/>
            <w:vAlign w:val="center"/>
          </w:tcPr>
          <w:p w14:paraId="6A66C663" w14:textId="77777777" w:rsidR="003A2F4A" w:rsidRPr="00175B64" w:rsidRDefault="003A2F4A" w:rsidP="00C81F3D">
            <w:pPr>
              <w:ind w:right="57"/>
              <w:jc w:val="center"/>
            </w:pPr>
          </w:p>
        </w:tc>
      </w:tr>
      <w:tr w:rsidR="003A2F4A" w:rsidRPr="00175B64" w14:paraId="69519C6D" w14:textId="77777777" w:rsidTr="003A2F4A">
        <w:trPr>
          <w:trHeight w:val="307"/>
        </w:trPr>
        <w:tc>
          <w:tcPr>
            <w:tcW w:w="540" w:type="dxa"/>
          </w:tcPr>
          <w:p w14:paraId="3A88BAA8" w14:textId="77777777" w:rsidR="003A2F4A" w:rsidRPr="00175B64" w:rsidRDefault="003A2F4A" w:rsidP="00C81F3D">
            <w:pPr>
              <w:ind w:right="-81"/>
              <w:jc w:val="center"/>
              <w:rPr>
                <w:b/>
              </w:rPr>
            </w:pPr>
            <w:r w:rsidRPr="00175B64">
              <w:rPr>
                <w:b/>
              </w:rPr>
              <w:t>10.</w:t>
            </w:r>
          </w:p>
          <w:p w14:paraId="2A6D907B" w14:textId="77777777" w:rsidR="003A2F4A" w:rsidRPr="00175B64" w:rsidRDefault="003A2F4A" w:rsidP="00C81F3D">
            <w:pPr>
              <w:ind w:right="-81"/>
              <w:jc w:val="center"/>
              <w:rPr>
                <w:b/>
              </w:rPr>
            </w:pPr>
          </w:p>
        </w:tc>
        <w:tc>
          <w:tcPr>
            <w:tcW w:w="4084" w:type="dxa"/>
            <w:vAlign w:val="bottom"/>
          </w:tcPr>
          <w:p w14:paraId="484C832B" w14:textId="77777777" w:rsidR="003A2F4A" w:rsidRPr="00175B64" w:rsidRDefault="003A2F4A" w:rsidP="00C81F3D">
            <w:pPr>
              <w:ind w:left="6" w:right="57"/>
              <w:rPr>
                <w:b/>
                <w:bCs/>
              </w:rPr>
            </w:pPr>
            <w:r w:rsidRPr="00175B64">
              <w:rPr>
                <w:b/>
                <w:bCs/>
              </w:rPr>
              <w:t>Bağışlar Eklenmiş Net Dağıtılabilir Dönem K</w:t>
            </w:r>
            <w:r w:rsidRPr="00175B64">
              <w:rPr>
                <w:b/>
              </w:rPr>
              <w:t>â</w:t>
            </w:r>
            <w:r w:rsidRPr="00175B64">
              <w:rPr>
                <w:b/>
                <w:bCs/>
              </w:rPr>
              <w:t xml:space="preserve">rı  </w:t>
            </w:r>
          </w:p>
        </w:tc>
        <w:tc>
          <w:tcPr>
            <w:tcW w:w="3420" w:type="dxa"/>
            <w:tcBorders>
              <w:top w:val="single" w:sz="8" w:space="0" w:color="auto"/>
              <w:left w:val="single" w:sz="8" w:space="0" w:color="auto"/>
              <w:bottom w:val="single" w:sz="8" w:space="0" w:color="000000"/>
              <w:right w:val="single" w:sz="8" w:space="0" w:color="auto"/>
            </w:tcBorders>
            <w:shd w:val="clear" w:color="000000" w:fill="FFFFFF"/>
            <w:vAlign w:val="center"/>
          </w:tcPr>
          <w:p w14:paraId="3A50E336" w14:textId="77777777" w:rsidR="003A2F4A" w:rsidRDefault="003A2F4A" w:rsidP="00C81F3D">
            <w:pPr>
              <w:overflowPunct/>
              <w:autoSpaceDE/>
              <w:autoSpaceDN/>
              <w:adjustRightInd/>
              <w:jc w:val="center"/>
              <w:textAlignment w:val="auto"/>
              <w:rPr>
                <w:color w:val="000000"/>
                <w:lang w:eastAsia="tr-TR"/>
              </w:rPr>
            </w:pPr>
            <w:r>
              <w:rPr>
                <w:color w:val="000000"/>
              </w:rPr>
              <w:t>3.630.832.299</w:t>
            </w:r>
          </w:p>
        </w:tc>
        <w:tc>
          <w:tcPr>
            <w:tcW w:w="2872" w:type="dxa"/>
            <w:shd w:val="clear" w:color="auto" w:fill="7F7F7F"/>
            <w:vAlign w:val="center"/>
          </w:tcPr>
          <w:p w14:paraId="4C29593F" w14:textId="77777777" w:rsidR="003A2F4A" w:rsidRPr="00175B64" w:rsidRDefault="003A2F4A" w:rsidP="00C81F3D">
            <w:pPr>
              <w:ind w:right="57"/>
              <w:jc w:val="center"/>
            </w:pPr>
          </w:p>
        </w:tc>
      </w:tr>
      <w:tr w:rsidR="003A2F4A" w:rsidRPr="00175B64" w14:paraId="16585636" w14:textId="77777777" w:rsidTr="003A2F4A">
        <w:trPr>
          <w:trHeight w:val="325"/>
        </w:trPr>
        <w:tc>
          <w:tcPr>
            <w:tcW w:w="540" w:type="dxa"/>
            <w:vMerge w:val="restart"/>
          </w:tcPr>
          <w:p w14:paraId="7AEAF9EE" w14:textId="77777777" w:rsidR="003A2F4A" w:rsidRPr="00175B64" w:rsidRDefault="003A2F4A" w:rsidP="00C81F3D">
            <w:pPr>
              <w:ind w:right="-81"/>
              <w:jc w:val="center"/>
              <w:rPr>
                <w:b/>
              </w:rPr>
            </w:pPr>
            <w:r w:rsidRPr="00175B64">
              <w:rPr>
                <w:b/>
              </w:rPr>
              <w:t>11.</w:t>
            </w:r>
          </w:p>
        </w:tc>
        <w:tc>
          <w:tcPr>
            <w:tcW w:w="4084" w:type="dxa"/>
          </w:tcPr>
          <w:p w14:paraId="238314BA" w14:textId="77777777" w:rsidR="003A2F4A" w:rsidRPr="00175B64" w:rsidRDefault="003A2F4A" w:rsidP="00C81F3D">
            <w:pPr>
              <w:ind w:left="6" w:right="57"/>
            </w:pPr>
            <w:r w:rsidRPr="00175B64">
              <w:t>Ortaklara Birinci Kar Payı</w:t>
            </w:r>
          </w:p>
        </w:tc>
        <w:tc>
          <w:tcPr>
            <w:tcW w:w="3420" w:type="dxa"/>
            <w:tcBorders>
              <w:top w:val="single" w:sz="8" w:space="0" w:color="auto"/>
              <w:left w:val="single" w:sz="8" w:space="0" w:color="auto"/>
              <w:bottom w:val="single" w:sz="8" w:space="0" w:color="000000"/>
              <w:right w:val="single" w:sz="8" w:space="0" w:color="auto"/>
            </w:tcBorders>
            <w:vAlign w:val="center"/>
          </w:tcPr>
          <w:p w14:paraId="76BEE162" w14:textId="77777777" w:rsidR="003A2F4A" w:rsidRDefault="003A2F4A" w:rsidP="00C81F3D">
            <w:pPr>
              <w:rPr>
                <w:color w:val="000000"/>
              </w:rPr>
            </w:pPr>
          </w:p>
        </w:tc>
        <w:tc>
          <w:tcPr>
            <w:tcW w:w="2872" w:type="dxa"/>
            <w:shd w:val="clear" w:color="auto" w:fill="7F7F7F"/>
            <w:vAlign w:val="center"/>
          </w:tcPr>
          <w:p w14:paraId="13D96730" w14:textId="77777777" w:rsidR="003A2F4A" w:rsidRPr="00175B64" w:rsidRDefault="003A2F4A" w:rsidP="00C81F3D">
            <w:pPr>
              <w:ind w:right="57"/>
              <w:jc w:val="center"/>
            </w:pPr>
          </w:p>
        </w:tc>
      </w:tr>
      <w:tr w:rsidR="003A2F4A" w:rsidRPr="00175B64" w14:paraId="6467BCC7" w14:textId="77777777" w:rsidTr="003A2F4A">
        <w:trPr>
          <w:trHeight w:val="70"/>
        </w:trPr>
        <w:tc>
          <w:tcPr>
            <w:tcW w:w="540" w:type="dxa"/>
            <w:vMerge/>
          </w:tcPr>
          <w:p w14:paraId="55F00AD1" w14:textId="77777777" w:rsidR="003A2F4A" w:rsidRPr="00175B64" w:rsidRDefault="003A2F4A" w:rsidP="00C81F3D">
            <w:pPr>
              <w:ind w:right="-81"/>
              <w:jc w:val="center"/>
              <w:rPr>
                <w:b/>
              </w:rPr>
            </w:pPr>
          </w:p>
        </w:tc>
        <w:tc>
          <w:tcPr>
            <w:tcW w:w="4084" w:type="dxa"/>
            <w:vAlign w:val="bottom"/>
          </w:tcPr>
          <w:p w14:paraId="74DBCC6A" w14:textId="77777777" w:rsidR="003A2F4A" w:rsidRPr="00175B64" w:rsidRDefault="003A2F4A" w:rsidP="00C81F3D">
            <w:pPr>
              <w:ind w:left="6" w:right="57"/>
            </w:pPr>
            <w:r w:rsidRPr="00175B64">
              <w:tab/>
              <w:t xml:space="preserve">-Nakit </w:t>
            </w:r>
          </w:p>
        </w:tc>
        <w:tc>
          <w:tcPr>
            <w:tcW w:w="3420" w:type="dxa"/>
            <w:vAlign w:val="center"/>
          </w:tcPr>
          <w:p w14:paraId="2F3DEC34" w14:textId="77777777" w:rsidR="003A2F4A" w:rsidRPr="00175B64" w:rsidRDefault="003A2F4A" w:rsidP="00C81F3D">
            <w:pPr>
              <w:jc w:val="center"/>
              <w:rPr>
                <w:color w:val="000000"/>
              </w:rPr>
            </w:pPr>
            <w:r w:rsidRPr="00175B64">
              <w:rPr>
                <w:color w:val="000000"/>
              </w:rPr>
              <w:t>-</w:t>
            </w:r>
          </w:p>
        </w:tc>
        <w:tc>
          <w:tcPr>
            <w:tcW w:w="2872" w:type="dxa"/>
            <w:shd w:val="clear" w:color="auto" w:fill="7F7F7F"/>
            <w:vAlign w:val="center"/>
          </w:tcPr>
          <w:p w14:paraId="759B5DBB" w14:textId="77777777" w:rsidR="003A2F4A" w:rsidRPr="00175B64" w:rsidRDefault="003A2F4A" w:rsidP="00C81F3D">
            <w:pPr>
              <w:ind w:right="57"/>
              <w:jc w:val="center"/>
            </w:pPr>
          </w:p>
        </w:tc>
      </w:tr>
      <w:tr w:rsidR="003A2F4A" w:rsidRPr="00175B64" w14:paraId="5A4EF4C9" w14:textId="77777777" w:rsidTr="003A2F4A">
        <w:trPr>
          <w:trHeight w:val="165"/>
        </w:trPr>
        <w:tc>
          <w:tcPr>
            <w:tcW w:w="540" w:type="dxa"/>
            <w:vMerge/>
          </w:tcPr>
          <w:p w14:paraId="7AC20338" w14:textId="77777777" w:rsidR="003A2F4A" w:rsidRPr="00175B64" w:rsidRDefault="003A2F4A" w:rsidP="00C81F3D">
            <w:pPr>
              <w:ind w:right="-81"/>
              <w:jc w:val="center"/>
              <w:rPr>
                <w:b/>
              </w:rPr>
            </w:pPr>
          </w:p>
        </w:tc>
        <w:tc>
          <w:tcPr>
            <w:tcW w:w="4084" w:type="dxa"/>
            <w:vAlign w:val="bottom"/>
          </w:tcPr>
          <w:p w14:paraId="00026EE3" w14:textId="77777777" w:rsidR="003A2F4A" w:rsidRPr="00175B64" w:rsidRDefault="003A2F4A" w:rsidP="00C81F3D">
            <w:pPr>
              <w:ind w:left="6" w:right="57"/>
            </w:pPr>
            <w:r w:rsidRPr="00175B64">
              <w:tab/>
              <w:t>-Bedelsiz</w:t>
            </w:r>
          </w:p>
        </w:tc>
        <w:tc>
          <w:tcPr>
            <w:tcW w:w="3420" w:type="dxa"/>
            <w:vAlign w:val="center"/>
          </w:tcPr>
          <w:p w14:paraId="7864B189" w14:textId="77777777" w:rsidR="003A2F4A" w:rsidRPr="00175B64" w:rsidRDefault="003A2F4A" w:rsidP="00C81F3D">
            <w:pPr>
              <w:jc w:val="center"/>
              <w:rPr>
                <w:color w:val="000000"/>
              </w:rPr>
            </w:pPr>
            <w:r w:rsidRPr="00175B64">
              <w:rPr>
                <w:color w:val="000000"/>
              </w:rPr>
              <w:t>-</w:t>
            </w:r>
          </w:p>
        </w:tc>
        <w:tc>
          <w:tcPr>
            <w:tcW w:w="2872" w:type="dxa"/>
            <w:shd w:val="clear" w:color="auto" w:fill="7F7F7F"/>
            <w:vAlign w:val="center"/>
          </w:tcPr>
          <w:p w14:paraId="49FBC204" w14:textId="77777777" w:rsidR="003A2F4A" w:rsidRPr="00175B64" w:rsidRDefault="003A2F4A" w:rsidP="00C81F3D">
            <w:pPr>
              <w:ind w:right="57"/>
              <w:jc w:val="center"/>
            </w:pPr>
          </w:p>
        </w:tc>
      </w:tr>
      <w:tr w:rsidR="003A2F4A" w:rsidRPr="00175B64" w14:paraId="0A9CDA16" w14:textId="77777777" w:rsidTr="003A2F4A">
        <w:trPr>
          <w:trHeight w:val="164"/>
        </w:trPr>
        <w:tc>
          <w:tcPr>
            <w:tcW w:w="540" w:type="dxa"/>
            <w:vMerge/>
          </w:tcPr>
          <w:p w14:paraId="22119AFD" w14:textId="77777777" w:rsidR="003A2F4A" w:rsidRPr="00175B64" w:rsidRDefault="003A2F4A" w:rsidP="00C81F3D">
            <w:pPr>
              <w:ind w:right="-81"/>
              <w:jc w:val="center"/>
              <w:rPr>
                <w:b/>
              </w:rPr>
            </w:pPr>
          </w:p>
        </w:tc>
        <w:tc>
          <w:tcPr>
            <w:tcW w:w="4084" w:type="dxa"/>
            <w:vAlign w:val="bottom"/>
          </w:tcPr>
          <w:p w14:paraId="187398D4" w14:textId="77777777" w:rsidR="003A2F4A" w:rsidRPr="00175B64" w:rsidRDefault="003A2F4A" w:rsidP="00C81F3D">
            <w:pPr>
              <w:ind w:left="6" w:right="57"/>
            </w:pPr>
            <w:r w:rsidRPr="00175B64">
              <w:tab/>
              <w:t>- Toplam</w:t>
            </w:r>
          </w:p>
        </w:tc>
        <w:tc>
          <w:tcPr>
            <w:tcW w:w="3420" w:type="dxa"/>
            <w:vAlign w:val="center"/>
          </w:tcPr>
          <w:p w14:paraId="25BACA58" w14:textId="77777777" w:rsidR="003A2F4A" w:rsidRPr="00175B64" w:rsidRDefault="003A2F4A" w:rsidP="00C81F3D">
            <w:pPr>
              <w:jc w:val="center"/>
              <w:rPr>
                <w:color w:val="000000"/>
              </w:rPr>
            </w:pPr>
            <w:r w:rsidRPr="00175B64">
              <w:rPr>
                <w:color w:val="000000"/>
              </w:rPr>
              <w:t>-</w:t>
            </w:r>
          </w:p>
        </w:tc>
        <w:tc>
          <w:tcPr>
            <w:tcW w:w="2872" w:type="dxa"/>
            <w:shd w:val="clear" w:color="auto" w:fill="7F7F7F"/>
            <w:vAlign w:val="center"/>
          </w:tcPr>
          <w:p w14:paraId="09F156D5" w14:textId="77777777" w:rsidR="003A2F4A" w:rsidRPr="00175B64" w:rsidRDefault="003A2F4A" w:rsidP="00C81F3D">
            <w:pPr>
              <w:ind w:right="57"/>
              <w:jc w:val="center"/>
            </w:pPr>
          </w:p>
        </w:tc>
      </w:tr>
      <w:tr w:rsidR="003A2F4A" w:rsidRPr="00175B64" w14:paraId="205DC3EC" w14:textId="77777777" w:rsidTr="003A2F4A">
        <w:tc>
          <w:tcPr>
            <w:tcW w:w="540" w:type="dxa"/>
          </w:tcPr>
          <w:p w14:paraId="3E673404" w14:textId="77777777" w:rsidR="003A2F4A" w:rsidRPr="00175B64" w:rsidRDefault="003A2F4A" w:rsidP="00C81F3D">
            <w:pPr>
              <w:ind w:right="-81"/>
              <w:jc w:val="center"/>
              <w:rPr>
                <w:b/>
              </w:rPr>
            </w:pPr>
            <w:r w:rsidRPr="00175B64">
              <w:rPr>
                <w:b/>
              </w:rPr>
              <w:t>12.</w:t>
            </w:r>
          </w:p>
          <w:p w14:paraId="184355DF" w14:textId="77777777" w:rsidR="003A2F4A" w:rsidRPr="00175B64" w:rsidRDefault="003A2F4A" w:rsidP="00C81F3D">
            <w:pPr>
              <w:ind w:right="-81"/>
              <w:jc w:val="center"/>
              <w:rPr>
                <w:b/>
              </w:rPr>
            </w:pPr>
          </w:p>
        </w:tc>
        <w:tc>
          <w:tcPr>
            <w:tcW w:w="4084" w:type="dxa"/>
          </w:tcPr>
          <w:p w14:paraId="6A420C5F" w14:textId="77777777" w:rsidR="003A2F4A" w:rsidRPr="00175B64" w:rsidRDefault="003A2F4A" w:rsidP="00C81F3D">
            <w:pPr>
              <w:ind w:left="6" w:right="57"/>
            </w:pPr>
            <w:r w:rsidRPr="00175B64">
              <w:t>İmtiyazlı Pay Sahiplerine Dağıtılan Kar Payı</w:t>
            </w:r>
          </w:p>
        </w:tc>
        <w:tc>
          <w:tcPr>
            <w:tcW w:w="3420" w:type="dxa"/>
            <w:vAlign w:val="center"/>
          </w:tcPr>
          <w:p w14:paraId="02E199D8" w14:textId="77777777" w:rsidR="003A2F4A" w:rsidRPr="00175B64" w:rsidRDefault="003A2F4A" w:rsidP="00C81F3D">
            <w:pPr>
              <w:ind w:right="57"/>
              <w:jc w:val="center"/>
            </w:pPr>
            <w:r w:rsidRPr="00175B64">
              <w:t>-</w:t>
            </w:r>
          </w:p>
        </w:tc>
        <w:tc>
          <w:tcPr>
            <w:tcW w:w="2872" w:type="dxa"/>
            <w:shd w:val="clear" w:color="auto" w:fill="7F7F7F"/>
            <w:vAlign w:val="center"/>
          </w:tcPr>
          <w:p w14:paraId="23D79437" w14:textId="77777777" w:rsidR="003A2F4A" w:rsidRPr="00175B64" w:rsidRDefault="003A2F4A" w:rsidP="00C81F3D">
            <w:pPr>
              <w:ind w:right="57"/>
              <w:jc w:val="center"/>
            </w:pPr>
          </w:p>
        </w:tc>
      </w:tr>
      <w:tr w:rsidR="003A2F4A" w:rsidRPr="00175B64" w14:paraId="5721F9DD" w14:textId="77777777" w:rsidTr="003A2F4A">
        <w:tc>
          <w:tcPr>
            <w:tcW w:w="540" w:type="dxa"/>
          </w:tcPr>
          <w:p w14:paraId="4831F938" w14:textId="77777777" w:rsidR="003A2F4A" w:rsidRPr="00175B64" w:rsidRDefault="003A2F4A" w:rsidP="00C81F3D">
            <w:pPr>
              <w:ind w:right="-81"/>
              <w:jc w:val="center"/>
              <w:rPr>
                <w:b/>
              </w:rPr>
            </w:pPr>
            <w:r w:rsidRPr="00175B64">
              <w:rPr>
                <w:b/>
              </w:rPr>
              <w:t>13.</w:t>
            </w:r>
          </w:p>
          <w:p w14:paraId="4032B3EF" w14:textId="77777777" w:rsidR="003A2F4A" w:rsidRPr="00175B64" w:rsidRDefault="003A2F4A" w:rsidP="00C81F3D">
            <w:pPr>
              <w:ind w:right="-81"/>
              <w:jc w:val="center"/>
              <w:rPr>
                <w:b/>
              </w:rPr>
            </w:pPr>
          </w:p>
        </w:tc>
        <w:tc>
          <w:tcPr>
            <w:tcW w:w="4084" w:type="dxa"/>
            <w:vAlign w:val="bottom"/>
          </w:tcPr>
          <w:p w14:paraId="742DA273" w14:textId="77777777" w:rsidR="003A2F4A" w:rsidRPr="00175B64" w:rsidRDefault="003A2F4A" w:rsidP="00C81F3D">
            <w:pPr>
              <w:ind w:left="6" w:right="57"/>
            </w:pPr>
            <w:r w:rsidRPr="00175B64">
              <w:t>Dağıtılan Diğer Kar Payı</w:t>
            </w:r>
          </w:p>
          <w:p w14:paraId="15BE12B0" w14:textId="77777777" w:rsidR="003A2F4A" w:rsidRPr="00175B64" w:rsidRDefault="003A2F4A" w:rsidP="00C81F3D">
            <w:pPr>
              <w:ind w:left="6" w:right="57"/>
            </w:pPr>
            <w:r w:rsidRPr="00175B64">
              <w:t>-Yönetim Kurulu Üyelerine,</w:t>
            </w:r>
          </w:p>
          <w:p w14:paraId="37DF959F" w14:textId="77777777" w:rsidR="003A2F4A" w:rsidRPr="00175B64" w:rsidRDefault="003A2F4A" w:rsidP="00C81F3D">
            <w:pPr>
              <w:ind w:left="6" w:right="57"/>
            </w:pPr>
            <w:r w:rsidRPr="00175B64">
              <w:t>-Çalışanlara,</w:t>
            </w:r>
          </w:p>
          <w:p w14:paraId="177BCAA2" w14:textId="77777777" w:rsidR="003A2F4A" w:rsidRPr="00175B64" w:rsidRDefault="003A2F4A" w:rsidP="00C81F3D">
            <w:pPr>
              <w:ind w:left="6" w:right="57"/>
            </w:pPr>
            <w:r w:rsidRPr="00175B64">
              <w:t>-Pay Sahibi Dışındaki Kişilere</w:t>
            </w:r>
          </w:p>
        </w:tc>
        <w:tc>
          <w:tcPr>
            <w:tcW w:w="3420" w:type="dxa"/>
            <w:vAlign w:val="center"/>
          </w:tcPr>
          <w:p w14:paraId="0319627A" w14:textId="77777777" w:rsidR="003A2F4A" w:rsidRPr="00175B64" w:rsidRDefault="003A2F4A" w:rsidP="00C81F3D">
            <w:pPr>
              <w:ind w:right="57"/>
              <w:jc w:val="center"/>
            </w:pPr>
            <w:r w:rsidRPr="00175B64">
              <w:t>-</w:t>
            </w:r>
          </w:p>
        </w:tc>
        <w:tc>
          <w:tcPr>
            <w:tcW w:w="2872" w:type="dxa"/>
            <w:shd w:val="clear" w:color="auto" w:fill="7F7F7F"/>
            <w:vAlign w:val="center"/>
          </w:tcPr>
          <w:p w14:paraId="7FE38994" w14:textId="77777777" w:rsidR="003A2F4A" w:rsidRPr="00175B64" w:rsidRDefault="003A2F4A" w:rsidP="00C81F3D">
            <w:pPr>
              <w:ind w:right="57"/>
              <w:jc w:val="center"/>
            </w:pPr>
          </w:p>
        </w:tc>
      </w:tr>
      <w:tr w:rsidR="003A2F4A" w:rsidRPr="00175B64" w14:paraId="0A6A5647" w14:textId="77777777" w:rsidTr="003A2F4A">
        <w:tc>
          <w:tcPr>
            <w:tcW w:w="540" w:type="dxa"/>
          </w:tcPr>
          <w:p w14:paraId="4D7B70DF" w14:textId="77777777" w:rsidR="003A2F4A" w:rsidRPr="00175B64" w:rsidRDefault="003A2F4A" w:rsidP="00C81F3D">
            <w:pPr>
              <w:ind w:right="-81"/>
              <w:jc w:val="center"/>
              <w:rPr>
                <w:b/>
              </w:rPr>
            </w:pPr>
            <w:r w:rsidRPr="00175B64">
              <w:rPr>
                <w:b/>
              </w:rPr>
              <w:t>14.</w:t>
            </w:r>
          </w:p>
        </w:tc>
        <w:tc>
          <w:tcPr>
            <w:tcW w:w="4084" w:type="dxa"/>
            <w:vAlign w:val="bottom"/>
          </w:tcPr>
          <w:p w14:paraId="13A5EFD5" w14:textId="77777777" w:rsidR="003A2F4A" w:rsidRPr="00175B64" w:rsidRDefault="003A2F4A" w:rsidP="00C81F3D">
            <w:pPr>
              <w:ind w:left="6" w:right="57"/>
            </w:pPr>
            <w:r w:rsidRPr="00175B64">
              <w:t>İntifa Senedi Sahiplerine Dağıtılan Kar Payı</w:t>
            </w:r>
          </w:p>
        </w:tc>
        <w:tc>
          <w:tcPr>
            <w:tcW w:w="3420" w:type="dxa"/>
            <w:vAlign w:val="center"/>
          </w:tcPr>
          <w:p w14:paraId="5FEE8988" w14:textId="77777777" w:rsidR="003A2F4A" w:rsidRPr="00175B64" w:rsidRDefault="003A2F4A" w:rsidP="00C81F3D">
            <w:pPr>
              <w:ind w:right="57"/>
              <w:jc w:val="center"/>
            </w:pPr>
            <w:r w:rsidRPr="00175B64">
              <w:t>-</w:t>
            </w:r>
          </w:p>
        </w:tc>
        <w:tc>
          <w:tcPr>
            <w:tcW w:w="2872" w:type="dxa"/>
            <w:shd w:val="clear" w:color="auto" w:fill="7F7F7F"/>
            <w:vAlign w:val="center"/>
          </w:tcPr>
          <w:p w14:paraId="5D1F075D" w14:textId="77777777" w:rsidR="003A2F4A" w:rsidRPr="00175B64" w:rsidRDefault="003A2F4A" w:rsidP="00C81F3D">
            <w:pPr>
              <w:ind w:right="57"/>
              <w:jc w:val="center"/>
            </w:pPr>
          </w:p>
        </w:tc>
      </w:tr>
      <w:tr w:rsidR="003A2F4A" w:rsidRPr="00175B64" w14:paraId="757B8D12" w14:textId="77777777" w:rsidTr="003A2F4A">
        <w:tc>
          <w:tcPr>
            <w:tcW w:w="540" w:type="dxa"/>
          </w:tcPr>
          <w:p w14:paraId="2C7C8CF4" w14:textId="77777777" w:rsidR="003A2F4A" w:rsidRPr="00175B64" w:rsidRDefault="003A2F4A" w:rsidP="00C81F3D">
            <w:pPr>
              <w:ind w:right="-81"/>
              <w:jc w:val="center"/>
              <w:rPr>
                <w:b/>
              </w:rPr>
            </w:pPr>
            <w:r w:rsidRPr="00175B64">
              <w:rPr>
                <w:b/>
              </w:rPr>
              <w:t>15.</w:t>
            </w:r>
          </w:p>
        </w:tc>
        <w:tc>
          <w:tcPr>
            <w:tcW w:w="4084" w:type="dxa"/>
            <w:vAlign w:val="bottom"/>
          </w:tcPr>
          <w:p w14:paraId="41383818" w14:textId="77777777" w:rsidR="003A2F4A" w:rsidRPr="00175B64" w:rsidRDefault="003A2F4A" w:rsidP="00C81F3D">
            <w:pPr>
              <w:ind w:left="6" w:right="57"/>
            </w:pPr>
            <w:r w:rsidRPr="00175B64">
              <w:t>Ortaklara İkinci Kar Payı</w:t>
            </w:r>
          </w:p>
        </w:tc>
        <w:tc>
          <w:tcPr>
            <w:tcW w:w="3420" w:type="dxa"/>
            <w:vAlign w:val="center"/>
          </w:tcPr>
          <w:p w14:paraId="24CCC730" w14:textId="77777777" w:rsidR="003A2F4A" w:rsidRPr="00175B64" w:rsidRDefault="003A2F4A" w:rsidP="00C81F3D">
            <w:pPr>
              <w:ind w:right="57"/>
              <w:jc w:val="center"/>
            </w:pPr>
            <w:r w:rsidRPr="00175B64">
              <w:t>-</w:t>
            </w:r>
          </w:p>
        </w:tc>
        <w:tc>
          <w:tcPr>
            <w:tcW w:w="2872" w:type="dxa"/>
            <w:shd w:val="clear" w:color="auto" w:fill="7F7F7F"/>
            <w:vAlign w:val="center"/>
          </w:tcPr>
          <w:p w14:paraId="5F024770" w14:textId="77777777" w:rsidR="003A2F4A" w:rsidRPr="00175B64" w:rsidRDefault="003A2F4A" w:rsidP="00C81F3D">
            <w:pPr>
              <w:ind w:right="57"/>
              <w:jc w:val="center"/>
            </w:pPr>
          </w:p>
        </w:tc>
      </w:tr>
      <w:tr w:rsidR="003A2F4A" w:rsidRPr="00175B64" w14:paraId="1149D6CD" w14:textId="77777777" w:rsidTr="003A2F4A">
        <w:tc>
          <w:tcPr>
            <w:tcW w:w="540" w:type="dxa"/>
          </w:tcPr>
          <w:p w14:paraId="1FDFCF45" w14:textId="77777777" w:rsidR="003A2F4A" w:rsidRPr="00175B64" w:rsidRDefault="003A2F4A" w:rsidP="00C81F3D">
            <w:pPr>
              <w:ind w:right="-81"/>
              <w:jc w:val="center"/>
              <w:rPr>
                <w:b/>
              </w:rPr>
            </w:pPr>
            <w:r w:rsidRPr="00175B64">
              <w:rPr>
                <w:b/>
              </w:rPr>
              <w:t>16.</w:t>
            </w:r>
          </w:p>
        </w:tc>
        <w:tc>
          <w:tcPr>
            <w:tcW w:w="4084" w:type="dxa"/>
          </w:tcPr>
          <w:p w14:paraId="681F5AE9" w14:textId="77777777" w:rsidR="003A2F4A" w:rsidRPr="00175B64" w:rsidRDefault="003A2F4A" w:rsidP="00C81F3D">
            <w:pPr>
              <w:ind w:left="6" w:right="57"/>
            </w:pPr>
            <w:r w:rsidRPr="00175B64">
              <w:t>Genel Kanuni</w:t>
            </w:r>
            <w:r>
              <w:t xml:space="preserve"> </w:t>
            </w:r>
            <w:r w:rsidRPr="00175B64">
              <w:t>Yedek Akçe</w:t>
            </w:r>
          </w:p>
        </w:tc>
        <w:tc>
          <w:tcPr>
            <w:tcW w:w="3420" w:type="dxa"/>
            <w:vAlign w:val="center"/>
          </w:tcPr>
          <w:p w14:paraId="15EF9C7A" w14:textId="77777777" w:rsidR="003A2F4A" w:rsidRPr="00175B64" w:rsidRDefault="003A2F4A" w:rsidP="00C81F3D">
            <w:pPr>
              <w:ind w:right="57"/>
              <w:jc w:val="center"/>
            </w:pPr>
            <w:r w:rsidRPr="00175B64">
              <w:t>-</w:t>
            </w:r>
          </w:p>
        </w:tc>
        <w:tc>
          <w:tcPr>
            <w:tcW w:w="2872" w:type="dxa"/>
            <w:shd w:val="clear" w:color="auto" w:fill="7F7F7F"/>
            <w:vAlign w:val="center"/>
          </w:tcPr>
          <w:p w14:paraId="2452A327" w14:textId="77777777" w:rsidR="003A2F4A" w:rsidRPr="00175B64" w:rsidRDefault="003A2F4A" w:rsidP="00C81F3D">
            <w:pPr>
              <w:ind w:right="57"/>
              <w:jc w:val="center"/>
            </w:pPr>
          </w:p>
        </w:tc>
      </w:tr>
      <w:tr w:rsidR="003A2F4A" w:rsidRPr="00175B64" w14:paraId="4E30A197" w14:textId="77777777" w:rsidTr="003A2F4A">
        <w:tc>
          <w:tcPr>
            <w:tcW w:w="540" w:type="dxa"/>
          </w:tcPr>
          <w:p w14:paraId="58C242D3" w14:textId="77777777" w:rsidR="003A2F4A" w:rsidRPr="00175B64" w:rsidRDefault="003A2F4A" w:rsidP="00C81F3D">
            <w:pPr>
              <w:ind w:right="-81"/>
              <w:jc w:val="center"/>
              <w:rPr>
                <w:b/>
              </w:rPr>
            </w:pPr>
            <w:r w:rsidRPr="00175B64">
              <w:rPr>
                <w:b/>
              </w:rPr>
              <w:t>17.</w:t>
            </w:r>
          </w:p>
        </w:tc>
        <w:tc>
          <w:tcPr>
            <w:tcW w:w="4084" w:type="dxa"/>
            <w:vAlign w:val="bottom"/>
          </w:tcPr>
          <w:p w14:paraId="2F8A7604" w14:textId="77777777" w:rsidR="003A2F4A" w:rsidRPr="00175B64" w:rsidRDefault="003A2F4A" w:rsidP="00C81F3D">
            <w:pPr>
              <w:ind w:left="6" w:right="57"/>
            </w:pPr>
            <w:r w:rsidRPr="00175B64">
              <w:t>Statü Yedekleri</w:t>
            </w:r>
          </w:p>
        </w:tc>
        <w:tc>
          <w:tcPr>
            <w:tcW w:w="3420" w:type="dxa"/>
            <w:vAlign w:val="center"/>
          </w:tcPr>
          <w:p w14:paraId="6DDE375D" w14:textId="77777777" w:rsidR="003A2F4A" w:rsidRPr="00175B64" w:rsidRDefault="003A2F4A" w:rsidP="00C81F3D">
            <w:pPr>
              <w:ind w:right="57"/>
              <w:jc w:val="center"/>
            </w:pPr>
            <w:r w:rsidRPr="00175B64">
              <w:t>-</w:t>
            </w:r>
          </w:p>
        </w:tc>
        <w:tc>
          <w:tcPr>
            <w:tcW w:w="2872" w:type="dxa"/>
            <w:shd w:val="clear" w:color="auto" w:fill="auto"/>
            <w:vAlign w:val="center"/>
          </w:tcPr>
          <w:p w14:paraId="00FEE8AB" w14:textId="77777777" w:rsidR="003A2F4A" w:rsidRPr="00175B64" w:rsidRDefault="003A2F4A" w:rsidP="00C81F3D">
            <w:pPr>
              <w:ind w:right="57"/>
              <w:jc w:val="center"/>
            </w:pPr>
            <w:r w:rsidRPr="00175B64">
              <w:t>-</w:t>
            </w:r>
          </w:p>
        </w:tc>
      </w:tr>
      <w:tr w:rsidR="003A2F4A" w:rsidRPr="00175B64" w14:paraId="262F3531" w14:textId="77777777" w:rsidTr="003A2F4A">
        <w:tc>
          <w:tcPr>
            <w:tcW w:w="540" w:type="dxa"/>
          </w:tcPr>
          <w:p w14:paraId="3AB403E9" w14:textId="77777777" w:rsidR="003A2F4A" w:rsidRPr="00175B64" w:rsidRDefault="003A2F4A" w:rsidP="00C81F3D">
            <w:pPr>
              <w:ind w:right="-81"/>
              <w:jc w:val="center"/>
              <w:rPr>
                <w:b/>
              </w:rPr>
            </w:pPr>
            <w:r w:rsidRPr="00175B64">
              <w:rPr>
                <w:b/>
              </w:rPr>
              <w:t>18.</w:t>
            </w:r>
          </w:p>
        </w:tc>
        <w:tc>
          <w:tcPr>
            <w:tcW w:w="4084" w:type="dxa"/>
            <w:vAlign w:val="bottom"/>
          </w:tcPr>
          <w:p w14:paraId="2706CFB9" w14:textId="77777777" w:rsidR="003A2F4A" w:rsidRPr="00175B64" w:rsidRDefault="003A2F4A" w:rsidP="00C81F3D">
            <w:pPr>
              <w:ind w:left="6" w:right="57"/>
            </w:pPr>
            <w:r w:rsidRPr="00175B64">
              <w:t>Özel Yedekler</w:t>
            </w:r>
          </w:p>
        </w:tc>
        <w:tc>
          <w:tcPr>
            <w:tcW w:w="3420" w:type="dxa"/>
            <w:vAlign w:val="center"/>
          </w:tcPr>
          <w:p w14:paraId="4B5BAA06" w14:textId="77777777" w:rsidR="003A2F4A" w:rsidRPr="00175B64" w:rsidRDefault="003A2F4A" w:rsidP="00C81F3D">
            <w:pPr>
              <w:ind w:right="57"/>
              <w:jc w:val="center"/>
            </w:pPr>
            <w:r w:rsidRPr="00175B64">
              <w:t>-</w:t>
            </w:r>
          </w:p>
        </w:tc>
        <w:tc>
          <w:tcPr>
            <w:tcW w:w="2872" w:type="dxa"/>
            <w:shd w:val="clear" w:color="auto" w:fill="auto"/>
            <w:vAlign w:val="center"/>
          </w:tcPr>
          <w:p w14:paraId="16967C67" w14:textId="77777777" w:rsidR="003A2F4A" w:rsidRPr="00175B64" w:rsidRDefault="003A2F4A" w:rsidP="00C81F3D">
            <w:pPr>
              <w:ind w:right="57"/>
              <w:jc w:val="center"/>
            </w:pPr>
            <w:r w:rsidRPr="00175B64">
              <w:t>-</w:t>
            </w:r>
          </w:p>
        </w:tc>
      </w:tr>
      <w:tr w:rsidR="003A2F4A" w:rsidRPr="00175B64" w14:paraId="11F4E90B" w14:textId="77777777" w:rsidTr="003A2F4A">
        <w:tc>
          <w:tcPr>
            <w:tcW w:w="540" w:type="dxa"/>
          </w:tcPr>
          <w:p w14:paraId="7C184DFF" w14:textId="77777777" w:rsidR="003A2F4A" w:rsidRPr="00175B64" w:rsidRDefault="003A2F4A" w:rsidP="00C81F3D">
            <w:pPr>
              <w:ind w:right="-81"/>
              <w:jc w:val="center"/>
              <w:rPr>
                <w:b/>
              </w:rPr>
            </w:pPr>
            <w:r w:rsidRPr="00175B64">
              <w:rPr>
                <w:b/>
              </w:rPr>
              <w:t>19.</w:t>
            </w:r>
          </w:p>
        </w:tc>
        <w:tc>
          <w:tcPr>
            <w:tcW w:w="4084" w:type="dxa"/>
          </w:tcPr>
          <w:p w14:paraId="4B752E7D" w14:textId="77777777" w:rsidR="003A2F4A" w:rsidRPr="00175B64" w:rsidRDefault="003A2F4A" w:rsidP="00C81F3D">
            <w:pPr>
              <w:ind w:left="6" w:right="57"/>
              <w:rPr>
                <w:b/>
              </w:rPr>
            </w:pPr>
            <w:r w:rsidRPr="00175B64">
              <w:rPr>
                <w:b/>
              </w:rPr>
              <w:t>OLAĞANÜSTÜ YEDEK</w:t>
            </w:r>
          </w:p>
        </w:tc>
        <w:tc>
          <w:tcPr>
            <w:tcW w:w="3420" w:type="dxa"/>
            <w:tcBorders>
              <w:top w:val="nil"/>
              <w:left w:val="nil"/>
              <w:bottom w:val="single" w:sz="8" w:space="0" w:color="auto"/>
              <w:right w:val="single" w:sz="8" w:space="0" w:color="auto"/>
            </w:tcBorders>
            <w:shd w:val="clear" w:color="auto" w:fill="auto"/>
            <w:vAlign w:val="center"/>
          </w:tcPr>
          <w:p w14:paraId="69855F2E" w14:textId="77777777" w:rsidR="003A2F4A" w:rsidRDefault="003A2F4A" w:rsidP="00C81F3D">
            <w:pPr>
              <w:overflowPunct/>
              <w:autoSpaceDE/>
              <w:autoSpaceDN/>
              <w:adjustRightInd/>
              <w:jc w:val="center"/>
              <w:textAlignment w:val="auto"/>
              <w:rPr>
                <w:color w:val="000000"/>
                <w:lang w:eastAsia="tr-TR"/>
              </w:rPr>
            </w:pPr>
            <w:r>
              <w:rPr>
                <w:color w:val="000000"/>
              </w:rPr>
              <w:t>3.630.137.439</w:t>
            </w:r>
          </w:p>
        </w:tc>
        <w:tc>
          <w:tcPr>
            <w:tcW w:w="2872" w:type="dxa"/>
            <w:tcBorders>
              <w:top w:val="nil"/>
              <w:left w:val="nil"/>
              <w:bottom w:val="single" w:sz="8" w:space="0" w:color="auto"/>
              <w:right w:val="single" w:sz="8" w:space="0" w:color="auto"/>
            </w:tcBorders>
            <w:shd w:val="clear" w:color="auto" w:fill="auto"/>
            <w:vAlign w:val="center"/>
          </w:tcPr>
          <w:p w14:paraId="3CA14586" w14:textId="77777777" w:rsidR="003A2F4A" w:rsidRDefault="003A2F4A" w:rsidP="00C81F3D">
            <w:pPr>
              <w:jc w:val="center"/>
              <w:rPr>
                <w:color w:val="000000"/>
              </w:rPr>
            </w:pPr>
            <w:r>
              <w:rPr>
                <w:color w:val="000000"/>
              </w:rPr>
              <w:t>2.072.819.024</w:t>
            </w:r>
          </w:p>
        </w:tc>
      </w:tr>
      <w:tr w:rsidR="003A2F4A" w:rsidRPr="00175B64" w14:paraId="77FDE5CC" w14:textId="77777777" w:rsidTr="003A2F4A">
        <w:trPr>
          <w:trHeight w:val="1066"/>
        </w:trPr>
        <w:tc>
          <w:tcPr>
            <w:tcW w:w="540" w:type="dxa"/>
          </w:tcPr>
          <w:p w14:paraId="7B9D09C8" w14:textId="77777777" w:rsidR="003A2F4A" w:rsidRPr="00175B64" w:rsidRDefault="003A2F4A" w:rsidP="00C81F3D">
            <w:pPr>
              <w:ind w:right="-81"/>
              <w:jc w:val="center"/>
              <w:rPr>
                <w:b/>
              </w:rPr>
            </w:pPr>
            <w:r w:rsidRPr="00175B64">
              <w:rPr>
                <w:b/>
              </w:rPr>
              <w:t xml:space="preserve">20. </w:t>
            </w:r>
          </w:p>
          <w:p w14:paraId="528D461A" w14:textId="77777777" w:rsidR="003A2F4A" w:rsidRPr="00175B64" w:rsidRDefault="003A2F4A" w:rsidP="00C81F3D">
            <w:pPr>
              <w:ind w:right="-81"/>
              <w:jc w:val="center"/>
              <w:rPr>
                <w:b/>
              </w:rPr>
            </w:pPr>
          </w:p>
          <w:p w14:paraId="10C72472" w14:textId="77777777" w:rsidR="003A2F4A" w:rsidRPr="00175B64" w:rsidRDefault="003A2F4A" w:rsidP="00C81F3D">
            <w:pPr>
              <w:ind w:right="-81"/>
              <w:jc w:val="center"/>
              <w:rPr>
                <w:b/>
              </w:rPr>
            </w:pPr>
          </w:p>
          <w:p w14:paraId="42CDEA74" w14:textId="77777777" w:rsidR="003A2F4A" w:rsidRPr="00175B64" w:rsidRDefault="003A2F4A" w:rsidP="00C81F3D">
            <w:pPr>
              <w:ind w:right="-81"/>
              <w:rPr>
                <w:b/>
              </w:rPr>
            </w:pPr>
          </w:p>
        </w:tc>
        <w:tc>
          <w:tcPr>
            <w:tcW w:w="4084" w:type="dxa"/>
          </w:tcPr>
          <w:p w14:paraId="70A83117" w14:textId="77777777" w:rsidR="003A2F4A" w:rsidRPr="00175B64" w:rsidRDefault="003A2F4A" w:rsidP="00C81F3D">
            <w:pPr>
              <w:ind w:left="6" w:right="57"/>
              <w:rPr>
                <w:b/>
              </w:rPr>
            </w:pPr>
            <w:r w:rsidRPr="00175B64">
              <w:rPr>
                <w:b/>
              </w:rPr>
              <w:t xml:space="preserve">Dağıtılması Öngörülen Diğer Kaynaklar </w:t>
            </w:r>
          </w:p>
          <w:p w14:paraId="7F702E19" w14:textId="77777777" w:rsidR="003A2F4A" w:rsidRPr="00175B64" w:rsidRDefault="003A2F4A" w:rsidP="00C81F3D">
            <w:pPr>
              <w:spacing w:line="360" w:lineRule="auto"/>
              <w:ind w:left="574" w:right="57"/>
              <w:jc w:val="both"/>
              <w:rPr>
                <w:b/>
              </w:rPr>
            </w:pPr>
          </w:p>
        </w:tc>
        <w:tc>
          <w:tcPr>
            <w:tcW w:w="3420" w:type="dxa"/>
          </w:tcPr>
          <w:p w14:paraId="0DA560E8" w14:textId="77777777" w:rsidR="003A2F4A" w:rsidRPr="00175B64" w:rsidRDefault="003A2F4A" w:rsidP="00C81F3D">
            <w:pPr>
              <w:ind w:right="57"/>
              <w:jc w:val="center"/>
            </w:pPr>
          </w:p>
        </w:tc>
        <w:tc>
          <w:tcPr>
            <w:tcW w:w="2872" w:type="dxa"/>
          </w:tcPr>
          <w:p w14:paraId="1C836672" w14:textId="77777777" w:rsidR="003A2F4A" w:rsidRPr="00175B64" w:rsidRDefault="003A2F4A" w:rsidP="00C81F3D">
            <w:pPr>
              <w:ind w:right="57"/>
              <w:jc w:val="center"/>
            </w:pPr>
          </w:p>
        </w:tc>
      </w:tr>
    </w:tbl>
    <w:p w14:paraId="6265C0C3" w14:textId="77777777" w:rsidR="003A2F4A" w:rsidRPr="00A32C79" w:rsidRDefault="003A2F4A" w:rsidP="003A2F4A">
      <w:pPr>
        <w:ind w:left="-426" w:right="1"/>
        <w:jc w:val="both"/>
        <w:rPr>
          <w:sz w:val="16"/>
          <w:szCs w:val="18"/>
        </w:rPr>
      </w:pPr>
      <w:r w:rsidRPr="00A32C79">
        <w:rPr>
          <w:sz w:val="16"/>
          <w:szCs w:val="18"/>
        </w:rPr>
        <w:t>(*) Bankacılık Düzenleme ve Denetleme Kurumu tarafından, ertelenmiş vergi varlıklarına ilişkin gelir tutarının nakit ya da iç kaynak olarak nitelendirilemeyeceği ve dolayısıyla dönem karının bahse konu varlıklardan kaynaklanan kısmının kar dağıtımına ve sermaye artırımına konu edilmemesi gerektiği mütalaa edilmiştir. Bu nedenle, Şirketimizin konsolide net dönem karı içinde bulunan 186.006.636</w:t>
      </w:r>
      <w:r>
        <w:rPr>
          <w:sz w:val="16"/>
          <w:szCs w:val="18"/>
        </w:rPr>
        <w:t>.</w:t>
      </w:r>
      <w:r w:rsidRPr="00A32C79">
        <w:rPr>
          <w:sz w:val="16"/>
          <w:szCs w:val="18"/>
        </w:rPr>
        <w:t xml:space="preserve">-TL tutarındaki ertelenmiş vergi gideri, olağanüstü yedek olarak ayrılan 3.630.137.439.-TL içinde yer almaktadır. </w:t>
      </w:r>
    </w:p>
    <w:p w14:paraId="74A0EA34" w14:textId="77777777" w:rsidR="003A2F4A" w:rsidRPr="00A32C79" w:rsidRDefault="003A2F4A" w:rsidP="003A2F4A">
      <w:pPr>
        <w:ind w:left="-426" w:right="1"/>
        <w:jc w:val="both"/>
        <w:rPr>
          <w:sz w:val="16"/>
          <w:szCs w:val="18"/>
        </w:rPr>
      </w:pPr>
    </w:p>
    <w:p w14:paraId="5C45C646" w14:textId="77777777" w:rsidR="003A2F4A" w:rsidRPr="00175B64" w:rsidRDefault="003A2F4A" w:rsidP="003A2F4A">
      <w:pPr>
        <w:ind w:left="-426" w:right="1"/>
        <w:jc w:val="both"/>
        <w:rPr>
          <w:sz w:val="16"/>
          <w:szCs w:val="18"/>
        </w:rPr>
      </w:pPr>
      <w:r w:rsidRPr="00A32C79">
        <w:rPr>
          <w:sz w:val="16"/>
          <w:szCs w:val="18"/>
        </w:rPr>
        <w:t xml:space="preserve">(**) Türk Ticaret Kanunu'nun 519. maddesi uyarınca, genel kanuni yedek akçe için net dönem karının %5'inin ayrılması gerekmekle birlikte, yine aynı kanun maddesi kapsamında, Şirketimizin genel kanuni yedek akçe toplamının ödenmiş sermayenin %20'sine ulaşmış olması sebebiyle kanuni yedek akçe ayrılmamıştır. </w:t>
      </w:r>
    </w:p>
    <w:p w14:paraId="2A6C7AC5" w14:textId="77777777" w:rsidR="003A2F4A" w:rsidRPr="00E271BC" w:rsidRDefault="003A2F4A" w:rsidP="003A2F4A">
      <w:pPr>
        <w:spacing w:line="360" w:lineRule="auto"/>
        <w:ind w:right="-30"/>
        <w:jc w:val="center"/>
        <w:rPr>
          <w:b/>
          <w:bCs/>
          <w:sz w:val="18"/>
          <w:szCs w:val="18"/>
        </w:rPr>
      </w:pPr>
      <w:r w:rsidRPr="00E271BC">
        <w:rPr>
          <w:b/>
          <w:bCs/>
          <w:sz w:val="18"/>
          <w:szCs w:val="18"/>
        </w:rPr>
        <w:t>İŞ FİNANSAL KİRALAMA A.Ş. 2025 YILINA AİT KAR PAYI ORANLARI TABLOSU</w:t>
      </w:r>
    </w:p>
    <w:tbl>
      <w:tblPr>
        <w:tblStyle w:val="TabloKlavuzu"/>
        <w:tblW w:w="9820" w:type="dxa"/>
        <w:tblInd w:w="-318" w:type="dxa"/>
        <w:tblLook w:val="04A0" w:firstRow="1" w:lastRow="0" w:firstColumn="1" w:lastColumn="0" w:noHBand="0" w:noVBand="1"/>
      </w:tblPr>
      <w:tblGrid>
        <w:gridCol w:w="783"/>
        <w:gridCol w:w="1347"/>
        <w:gridCol w:w="1564"/>
        <w:gridCol w:w="1487"/>
        <w:gridCol w:w="2015"/>
        <w:gridCol w:w="1312"/>
        <w:gridCol w:w="1312"/>
      </w:tblGrid>
      <w:tr w:rsidR="003A2F4A" w:rsidRPr="00E271BC" w14:paraId="7B48B6AF" w14:textId="77777777" w:rsidTr="00E271BC">
        <w:trPr>
          <w:trHeight w:val="983"/>
        </w:trPr>
        <w:tc>
          <w:tcPr>
            <w:tcW w:w="783" w:type="dxa"/>
            <w:tcBorders>
              <w:top w:val="single" w:sz="4" w:space="0" w:color="auto"/>
              <w:left w:val="single" w:sz="4" w:space="0" w:color="auto"/>
              <w:bottom w:val="nil"/>
              <w:right w:val="single" w:sz="4" w:space="0" w:color="auto"/>
            </w:tcBorders>
          </w:tcPr>
          <w:p w14:paraId="1EAE9875"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c>
          <w:tcPr>
            <w:tcW w:w="1347" w:type="dxa"/>
            <w:vMerge w:val="restart"/>
            <w:tcBorders>
              <w:top w:val="single" w:sz="4" w:space="0" w:color="auto"/>
              <w:left w:val="single" w:sz="4" w:space="0" w:color="auto"/>
            </w:tcBorders>
            <w:vAlign w:val="center"/>
          </w:tcPr>
          <w:p w14:paraId="2B1B7F85"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GRUBU</w:t>
            </w:r>
          </w:p>
          <w:p w14:paraId="58F7E1F0"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p>
        </w:tc>
        <w:tc>
          <w:tcPr>
            <w:tcW w:w="3051" w:type="dxa"/>
            <w:gridSpan w:val="2"/>
            <w:tcBorders>
              <w:top w:val="single" w:sz="4" w:space="0" w:color="auto"/>
            </w:tcBorders>
            <w:vAlign w:val="center"/>
          </w:tcPr>
          <w:p w14:paraId="38A39F1C" w14:textId="77777777" w:rsidR="003A2F4A" w:rsidRPr="00E271BC" w:rsidRDefault="003A2F4A" w:rsidP="00C81F3D">
            <w:pPr>
              <w:pStyle w:val="GvdeMetni"/>
              <w:tabs>
                <w:tab w:val="center" w:pos="709"/>
                <w:tab w:val="center" w:pos="3261"/>
                <w:tab w:val="center" w:pos="5670"/>
                <w:tab w:val="center" w:pos="8080"/>
              </w:tabs>
              <w:jc w:val="left"/>
              <w:rPr>
                <w:rFonts w:ascii="Times New Roman" w:hAnsi="Times New Roman" w:cs="Times New Roman"/>
                <w:b/>
                <w:bCs/>
                <w:sz w:val="18"/>
                <w:szCs w:val="18"/>
              </w:rPr>
            </w:pPr>
            <w:r w:rsidRPr="00E271BC">
              <w:rPr>
                <w:rFonts w:ascii="Times New Roman" w:hAnsi="Times New Roman" w:cs="Times New Roman"/>
                <w:b/>
                <w:bCs/>
                <w:sz w:val="18"/>
                <w:szCs w:val="18"/>
              </w:rPr>
              <w:t>TOPLAM DAĞITILAN KAR PAYI</w:t>
            </w:r>
          </w:p>
          <w:p w14:paraId="781BD6BA" w14:textId="77777777" w:rsidR="003A2F4A" w:rsidRPr="00E271BC" w:rsidRDefault="003A2F4A" w:rsidP="00C81F3D">
            <w:pPr>
              <w:pStyle w:val="GvdeMetni"/>
              <w:tabs>
                <w:tab w:val="center" w:pos="709"/>
                <w:tab w:val="center" w:pos="3261"/>
                <w:tab w:val="center" w:pos="5670"/>
                <w:tab w:val="center" w:pos="8080"/>
              </w:tabs>
              <w:jc w:val="left"/>
              <w:rPr>
                <w:rFonts w:ascii="Times New Roman" w:hAnsi="Times New Roman" w:cs="Times New Roman"/>
              </w:rPr>
            </w:pPr>
          </w:p>
        </w:tc>
        <w:tc>
          <w:tcPr>
            <w:tcW w:w="2015" w:type="dxa"/>
            <w:tcBorders>
              <w:top w:val="single" w:sz="4" w:space="0" w:color="auto"/>
            </w:tcBorders>
          </w:tcPr>
          <w:p w14:paraId="5F098A71"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TOPLAM DAĞITILAN KAR PAYI / NET DAĞITILABİLİR DÖNEM KARI</w:t>
            </w:r>
          </w:p>
          <w:p w14:paraId="0C10E80C"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c>
          <w:tcPr>
            <w:tcW w:w="2624" w:type="dxa"/>
            <w:gridSpan w:val="2"/>
            <w:tcBorders>
              <w:top w:val="single" w:sz="4" w:space="0" w:color="auto"/>
              <w:right w:val="single" w:sz="4" w:space="0" w:color="auto"/>
            </w:tcBorders>
          </w:tcPr>
          <w:p w14:paraId="7FA2C369"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p>
          <w:p w14:paraId="222F960C"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1 TL NOMİNAL DEĞERLİ PAYA İSABET EDEN KAR PAYI</w:t>
            </w:r>
          </w:p>
          <w:p w14:paraId="169C0A6D"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r>
      <w:tr w:rsidR="003A2F4A" w:rsidRPr="00E271BC" w14:paraId="263FDB48" w14:textId="77777777" w:rsidTr="00C81F3D">
        <w:trPr>
          <w:trHeight w:val="281"/>
        </w:trPr>
        <w:tc>
          <w:tcPr>
            <w:tcW w:w="783" w:type="dxa"/>
            <w:tcBorders>
              <w:top w:val="nil"/>
              <w:left w:val="single" w:sz="4" w:space="0" w:color="auto"/>
              <w:bottom w:val="single" w:sz="4" w:space="0" w:color="auto"/>
              <w:right w:val="single" w:sz="4" w:space="0" w:color="auto"/>
            </w:tcBorders>
          </w:tcPr>
          <w:p w14:paraId="2F955588"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c>
          <w:tcPr>
            <w:tcW w:w="1347" w:type="dxa"/>
            <w:vMerge/>
            <w:tcBorders>
              <w:left w:val="single" w:sz="4" w:space="0" w:color="auto"/>
            </w:tcBorders>
          </w:tcPr>
          <w:p w14:paraId="0EFF02EC"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c>
          <w:tcPr>
            <w:tcW w:w="1564" w:type="dxa"/>
            <w:vAlign w:val="center"/>
          </w:tcPr>
          <w:p w14:paraId="681FDA45"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p>
          <w:p w14:paraId="29056E4C"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NAKİT</w:t>
            </w:r>
          </w:p>
          <w:p w14:paraId="50651C4B"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 xml:space="preserve"> (TL)</w:t>
            </w:r>
          </w:p>
          <w:p w14:paraId="51FB5C69"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p>
        </w:tc>
        <w:tc>
          <w:tcPr>
            <w:tcW w:w="1487" w:type="dxa"/>
          </w:tcPr>
          <w:p w14:paraId="331508F4"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p>
          <w:p w14:paraId="49054631"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BEDELSİZ (TL)</w:t>
            </w:r>
          </w:p>
          <w:p w14:paraId="6A629F90"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c>
          <w:tcPr>
            <w:tcW w:w="2015" w:type="dxa"/>
          </w:tcPr>
          <w:p w14:paraId="64904861"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p>
          <w:p w14:paraId="0E358EC1"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p>
          <w:p w14:paraId="37B2299A"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b/>
                <w:bCs/>
                <w:sz w:val="18"/>
                <w:szCs w:val="18"/>
              </w:rPr>
            </w:pPr>
            <w:r w:rsidRPr="00E271BC">
              <w:rPr>
                <w:rFonts w:ascii="Times New Roman" w:hAnsi="Times New Roman" w:cs="Times New Roman"/>
                <w:b/>
                <w:bCs/>
                <w:sz w:val="18"/>
                <w:szCs w:val="18"/>
              </w:rPr>
              <w:t>ORANI (%)</w:t>
            </w:r>
          </w:p>
        </w:tc>
        <w:tc>
          <w:tcPr>
            <w:tcW w:w="1312" w:type="dxa"/>
          </w:tcPr>
          <w:p w14:paraId="48F2C838"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p w14:paraId="24F7ECEE"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b/>
                <w:bCs/>
                <w:sz w:val="18"/>
                <w:szCs w:val="18"/>
              </w:rPr>
              <w:t>TUTARI (TL)</w:t>
            </w:r>
          </w:p>
        </w:tc>
        <w:tc>
          <w:tcPr>
            <w:tcW w:w="1312" w:type="dxa"/>
            <w:tcBorders>
              <w:right w:val="single" w:sz="4" w:space="0" w:color="auto"/>
            </w:tcBorders>
          </w:tcPr>
          <w:p w14:paraId="56491F1B"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p>
          <w:p w14:paraId="4E3B34EF"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p>
          <w:p w14:paraId="506AA4C4"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b/>
                <w:bCs/>
                <w:sz w:val="18"/>
                <w:szCs w:val="18"/>
              </w:rPr>
              <w:t>ORANI (%)</w:t>
            </w:r>
          </w:p>
        </w:tc>
      </w:tr>
      <w:tr w:rsidR="003A2F4A" w:rsidRPr="00E271BC" w14:paraId="3B9F7197" w14:textId="77777777" w:rsidTr="00C81F3D">
        <w:tc>
          <w:tcPr>
            <w:tcW w:w="783" w:type="dxa"/>
            <w:vMerge w:val="restart"/>
            <w:tcBorders>
              <w:top w:val="single" w:sz="4" w:space="0" w:color="auto"/>
              <w:left w:val="single" w:sz="4" w:space="0" w:color="auto"/>
            </w:tcBorders>
          </w:tcPr>
          <w:p w14:paraId="7ACC1818"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p>
          <w:p w14:paraId="02C540BE"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p>
          <w:p w14:paraId="64515B6A"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r w:rsidRPr="00E271BC">
              <w:rPr>
                <w:rFonts w:ascii="Times New Roman" w:hAnsi="Times New Roman" w:cs="Times New Roman"/>
                <w:b/>
                <w:bCs/>
                <w:sz w:val="18"/>
                <w:szCs w:val="18"/>
              </w:rPr>
              <w:t>BRÜT</w:t>
            </w:r>
          </w:p>
        </w:tc>
        <w:tc>
          <w:tcPr>
            <w:tcW w:w="1347" w:type="dxa"/>
          </w:tcPr>
          <w:p w14:paraId="202CD9AA"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r w:rsidRPr="00E271BC">
              <w:rPr>
                <w:rFonts w:ascii="Times New Roman" w:hAnsi="Times New Roman" w:cs="Times New Roman"/>
                <w:b/>
                <w:bCs/>
                <w:sz w:val="18"/>
                <w:szCs w:val="18"/>
              </w:rPr>
              <w:t>A</w:t>
            </w:r>
          </w:p>
          <w:p w14:paraId="73A7054E"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p>
        </w:tc>
        <w:tc>
          <w:tcPr>
            <w:tcW w:w="1564" w:type="dxa"/>
            <w:vAlign w:val="center"/>
          </w:tcPr>
          <w:p w14:paraId="6983642A"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c>
          <w:tcPr>
            <w:tcW w:w="1487" w:type="dxa"/>
            <w:vAlign w:val="center"/>
          </w:tcPr>
          <w:p w14:paraId="70A68F93" w14:textId="77777777" w:rsidR="003A2F4A" w:rsidRPr="00E271BC" w:rsidRDefault="003A2F4A" w:rsidP="00C81F3D">
            <w:pPr>
              <w:jc w:val="center"/>
              <w:rPr>
                <w:rFonts w:ascii="Times New Roman" w:hAnsi="Times New Roman" w:cs="Times New Roman"/>
                <w:color w:val="000000"/>
              </w:rPr>
            </w:pPr>
            <w:r w:rsidRPr="00E271BC">
              <w:rPr>
                <w:rFonts w:ascii="Times New Roman" w:hAnsi="Times New Roman" w:cs="Times New Roman"/>
                <w:color w:val="000000"/>
              </w:rPr>
              <w:t>-</w:t>
            </w:r>
          </w:p>
        </w:tc>
        <w:tc>
          <w:tcPr>
            <w:tcW w:w="2015" w:type="dxa"/>
            <w:vAlign w:val="center"/>
          </w:tcPr>
          <w:p w14:paraId="40DEDEF5"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c>
          <w:tcPr>
            <w:tcW w:w="1312" w:type="dxa"/>
            <w:vAlign w:val="center"/>
          </w:tcPr>
          <w:p w14:paraId="411C2DDA"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c>
          <w:tcPr>
            <w:tcW w:w="1312" w:type="dxa"/>
            <w:tcBorders>
              <w:right w:val="single" w:sz="4" w:space="0" w:color="auto"/>
            </w:tcBorders>
            <w:vAlign w:val="center"/>
          </w:tcPr>
          <w:p w14:paraId="7117DDA8"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r>
      <w:tr w:rsidR="003A2F4A" w:rsidRPr="00E271BC" w14:paraId="0D25BF09" w14:textId="77777777" w:rsidTr="00C81F3D">
        <w:tc>
          <w:tcPr>
            <w:tcW w:w="783" w:type="dxa"/>
            <w:vMerge/>
            <w:tcBorders>
              <w:left w:val="single" w:sz="4" w:space="0" w:color="auto"/>
            </w:tcBorders>
          </w:tcPr>
          <w:p w14:paraId="6ED5758F"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rPr>
            </w:pPr>
          </w:p>
        </w:tc>
        <w:tc>
          <w:tcPr>
            <w:tcW w:w="1347" w:type="dxa"/>
          </w:tcPr>
          <w:p w14:paraId="0E0BE8A3"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r w:rsidRPr="00E271BC">
              <w:rPr>
                <w:rFonts w:ascii="Times New Roman" w:hAnsi="Times New Roman" w:cs="Times New Roman"/>
                <w:b/>
                <w:bCs/>
                <w:sz w:val="18"/>
                <w:szCs w:val="18"/>
              </w:rPr>
              <w:t>B</w:t>
            </w:r>
          </w:p>
          <w:p w14:paraId="79E86817" w14:textId="77777777" w:rsidR="003A2F4A" w:rsidRPr="00E271BC" w:rsidRDefault="003A2F4A" w:rsidP="00C81F3D">
            <w:pPr>
              <w:pStyle w:val="GvdeMetni"/>
              <w:tabs>
                <w:tab w:val="center" w:pos="709"/>
                <w:tab w:val="center" w:pos="3261"/>
                <w:tab w:val="center" w:pos="5670"/>
                <w:tab w:val="center" w:pos="8080"/>
              </w:tabs>
              <w:rPr>
                <w:rFonts w:ascii="Times New Roman" w:hAnsi="Times New Roman" w:cs="Times New Roman"/>
                <w:b/>
                <w:bCs/>
                <w:sz w:val="18"/>
                <w:szCs w:val="18"/>
              </w:rPr>
            </w:pPr>
          </w:p>
        </w:tc>
        <w:tc>
          <w:tcPr>
            <w:tcW w:w="1564" w:type="dxa"/>
            <w:vAlign w:val="center"/>
          </w:tcPr>
          <w:p w14:paraId="63EE2101"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c>
          <w:tcPr>
            <w:tcW w:w="1487" w:type="dxa"/>
            <w:vAlign w:val="center"/>
          </w:tcPr>
          <w:p w14:paraId="41751DDF" w14:textId="77777777" w:rsidR="003A2F4A" w:rsidRPr="00E271BC" w:rsidRDefault="003A2F4A" w:rsidP="00C81F3D">
            <w:pPr>
              <w:jc w:val="center"/>
              <w:rPr>
                <w:rFonts w:ascii="Times New Roman" w:hAnsi="Times New Roman" w:cs="Times New Roman"/>
                <w:color w:val="000000"/>
              </w:rPr>
            </w:pPr>
            <w:r w:rsidRPr="00E271BC">
              <w:rPr>
                <w:rFonts w:ascii="Times New Roman" w:hAnsi="Times New Roman" w:cs="Times New Roman"/>
                <w:color w:val="000000"/>
              </w:rPr>
              <w:t>-</w:t>
            </w:r>
          </w:p>
        </w:tc>
        <w:tc>
          <w:tcPr>
            <w:tcW w:w="2015" w:type="dxa"/>
            <w:vAlign w:val="center"/>
          </w:tcPr>
          <w:p w14:paraId="4507CD2D"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c>
          <w:tcPr>
            <w:tcW w:w="1312" w:type="dxa"/>
            <w:vAlign w:val="center"/>
          </w:tcPr>
          <w:p w14:paraId="57571708"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c>
          <w:tcPr>
            <w:tcW w:w="1312" w:type="dxa"/>
            <w:tcBorders>
              <w:right w:val="single" w:sz="4" w:space="0" w:color="auto"/>
            </w:tcBorders>
            <w:vAlign w:val="center"/>
          </w:tcPr>
          <w:p w14:paraId="431B6606" w14:textId="77777777" w:rsidR="003A2F4A" w:rsidRPr="00E271BC" w:rsidRDefault="003A2F4A" w:rsidP="00C81F3D">
            <w:pPr>
              <w:pStyle w:val="GvdeMetni"/>
              <w:tabs>
                <w:tab w:val="center" w:pos="709"/>
                <w:tab w:val="center" w:pos="3261"/>
                <w:tab w:val="center" w:pos="5670"/>
                <w:tab w:val="center" w:pos="8080"/>
              </w:tabs>
              <w:jc w:val="center"/>
              <w:rPr>
                <w:rFonts w:ascii="Times New Roman" w:hAnsi="Times New Roman" w:cs="Times New Roman"/>
              </w:rPr>
            </w:pPr>
            <w:r w:rsidRPr="00E271BC">
              <w:rPr>
                <w:rFonts w:ascii="Times New Roman" w:hAnsi="Times New Roman" w:cs="Times New Roman"/>
              </w:rPr>
              <w:t>-</w:t>
            </w:r>
          </w:p>
        </w:tc>
      </w:tr>
      <w:bookmarkEnd w:id="1"/>
    </w:tbl>
    <w:p w14:paraId="7C1E815A" w14:textId="77777777" w:rsidR="003A2F4A" w:rsidRPr="00E271BC" w:rsidRDefault="003A2F4A" w:rsidP="003A2F4A"/>
    <w:p w14:paraId="4E9FA678" w14:textId="1C0036D9" w:rsidR="00ED5568" w:rsidRPr="00ED5568" w:rsidRDefault="00E43A28" w:rsidP="00E54F74">
      <w:pPr>
        <w:pStyle w:val="ListeParagraf"/>
        <w:numPr>
          <w:ilvl w:val="0"/>
          <w:numId w:val="2"/>
        </w:numPr>
        <w:ind w:left="567" w:hanging="644"/>
        <w:jc w:val="both"/>
        <w:rPr>
          <w:rFonts w:asciiTheme="minorHAnsi" w:hAnsiTheme="minorHAnsi" w:cstheme="minorHAnsi"/>
          <w:b/>
          <w:sz w:val="23"/>
          <w:szCs w:val="23"/>
        </w:rPr>
      </w:pPr>
      <w:r w:rsidRPr="00E43A28">
        <w:rPr>
          <w:rFonts w:asciiTheme="minorHAnsi" w:hAnsiTheme="minorHAnsi" w:cstheme="minorHAnsi"/>
          <w:b/>
          <w:sz w:val="23"/>
          <w:szCs w:val="23"/>
        </w:rPr>
        <w:t xml:space="preserve">Tescil edilmiş mevcut </w:t>
      </w:r>
      <w:r w:rsidR="00BE1E54">
        <w:rPr>
          <w:rFonts w:asciiTheme="minorHAnsi" w:hAnsiTheme="minorHAnsi" w:cstheme="minorHAnsi"/>
          <w:b/>
          <w:sz w:val="23"/>
          <w:szCs w:val="23"/>
        </w:rPr>
        <w:t xml:space="preserve">Ana </w:t>
      </w:r>
      <w:proofErr w:type="spellStart"/>
      <w:r w:rsidR="00BE1E54">
        <w:rPr>
          <w:rFonts w:asciiTheme="minorHAnsi" w:hAnsiTheme="minorHAnsi" w:cstheme="minorHAnsi"/>
          <w:b/>
          <w:sz w:val="23"/>
          <w:szCs w:val="23"/>
        </w:rPr>
        <w:t>S</w:t>
      </w:r>
      <w:r w:rsidRPr="00E66F82">
        <w:rPr>
          <w:rFonts w:asciiTheme="minorHAnsi" w:hAnsiTheme="minorHAnsi" w:cstheme="minorHAnsi"/>
          <w:b/>
          <w:sz w:val="23"/>
          <w:szCs w:val="23"/>
        </w:rPr>
        <w:t>özleşme</w:t>
      </w:r>
      <w:r w:rsidR="00BE1E54">
        <w:rPr>
          <w:rFonts w:asciiTheme="minorHAnsi" w:hAnsiTheme="minorHAnsi" w:cstheme="minorHAnsi"/>
          <w:b/>
          <w:sz w:val="23"/>
          <w:szCs w:val="23"/>
        </w:rPr>
        <w:t>’</w:t>
      </w:r>
      <w:r w:rsidRPr="00E66F82">
        <w:rPr>
          <w:rFonts w:asciiTheme="minorHAnsi" w:hAnsiTheme="minorHAnsi" w:cstheme="minorHAnsi"/>
          <w:b/>
          <w:sz w:val="23"/>
          <w:szCs w:val="23"/>
        </w:rPr>
        <w:t>ye</w:t>
      </w:r>
      <w:proofErr w:type="spellEnd"/>
      <w:r w:rsidRPr="00E66F82">
        <w:rPr>
          <w:rFonts w:asciiTheme="minorHAnsi" w:hAnsiTheme="minorHAnsi" w:cstheme="minorHAnsi"/>
          <w:b/>
          <w:sz w:val="23"/>
          <w:szCs w:val="23"/>
        </w:rPr>
        <w:t xml:space="preserve"> </w:t>
      </w:r>
      <w:r w:rsidR="003A2F4A" w:rsidRPr="00E66F82">
        <w:rPr>
          <w:rFonts w:asciiTheme="minorHAnsi" w:hAnsiTheme="minorHAnsi" w:cstheme="minorHAnsi"/>
          <w:b/>
          <w:sz w:val="23"/>
          <w:szCs w:val="23"/>
        </w:rPr>
        <w:t xml:space="preserve">göre </w:t>
      </w:r>
      <w:r w:rsidR="003A2F4A">
        <w:rPr>
          <w:rFonts w:asciiTheme="minorHAnsi" w:hAnsiTheme="minorHAnsi" w:cstheme="minorHAnsi"/>
          <w:b/>
          <w:sz w:val="23"/>
          <w:szCs w:val="23"/>
        </w:rPr>
        <w:t xml:space="preserve">ve alınacak onaylara bağlı olmak üzere </w:t>
      </w:r>
      <w:r w:rsidRPr="00E66F82">
        <w:rPr>
          <w:rFonts w:asciiTheme="minorHAnsi" w:hAnsiTheme="minorHAnsi" w:cstheme="minorHAnsi"/>
          <w:b/>
          <w:sz w:val="23"/>
          <w:szCs w:val="23"/>
        </w:rPr>
        <w:t>Yönetim</w:t>
      </w:r>
      <w:r w:rsidRPr="00E43A28">
        <w:rPr>
          <w:rFonts w:asciiTheme="minorHAnsi" w:hAnsiTheme="minorHAnsi" w:cstheme="minorHAnsi"/>
          <w:b/>
          <w:sz w:val="23"/>
          <w:szCs w:val="23"/>
        </w:rPr>
        <w:t xml:space="preserve"> Kurulu Üyelerinin seçimi ve görev sürelerinin tespiti, üyelerin şirket dışında aldığı görevler ve gerekçe</w:t>
      </w:r>
      <w:r w:rsidR="00670B13">
        <w:rPr>
          <w:rFonts w:asciiTheme="minorHAnsi" w:hAnsiTheme="minorHAnsi" w:cstheme="minorHAnsi"/>
          <w:b/>
          <w:sz w:val="23"/>
          <w:szCs w:val="23"/>
        </w:rPr>
        <w:t>leri</w:t>
      </w:r>
      <w:r w:rsidRPr="00E43A28">
        <w:rPr>
          <w:rFonts w:asciiTheme="minorHAnsi" w:hAnsiTheme="minorHAnsi" w:cstheme="minorHAnsi"/>
          <w:b/>
          <w:sz w:val="23"/>
          <w:szCs w:val="23"/>
        </w:rPr>
        <w:t>nin pay sahiplerinin bilgisine sunulması</w:t>
      </w:r>
    </w:p>
    <w:p w14:paraId="5DC22215" w14:textId="77777777" w:rsidR="00650AC1" w:rsidRPr="00502C9F" w:rsidRDefault="00650AC1" w:rsidP="00BF5670">
      <w:pPr>
        <w:pStyle w:val="ListeParagraf"/>
        <w:tabs>
          <w:tab w:val="num" w:pos="567"/>
        </w:tabs>
        <w:ind w:left="567" w:hanging="567"/>
        <w:jc w:val="both"/>
        <w:rPr>
          <w:rFonts w:asciiTheme="minorHAnsi" w:hAnsiTheme="minorHAnsi" w:cs="Tahoma"/>
          <w:sz w:val="10"/>
          <w:szCs w:val="10"/>
          <w:highlight w:val="yellow"/>
        </w:rPr>
      </w:pPr>
    </w:p>
    <w:p w14:paraId="03C60132" w14:textId="6971A4B3" w:rsidR="00650AC1" w:rsidRDefault="00ED5568" w:rsidP="00265270">
      <w:pPr>
        <w:pStyle w:val="ListeParagraf"/>
        <w:tabs>
          <w:tab w:val="num" w:pos="567"/>
        </w:tabs>
        <w:ind w:left="567"/>
        <w:jc w:val="both"/>
        <w:rPr>
          <w:rFonts w:asciiTheme="minorHAnsi" w:hAnsiTheme="minorHAnsi" w:cs="Tahoma"/>
          <w:sz w:val="23"/>
          <w:szCs w:val="23"/>
        </w:rPr>
      </w:pPr>
      <w:r w:rsidRPr="00ED5568">
        <w:rPr>
          <w:rFonts w:asciiTheme="minorHAnsi" w:hAnsiTheme="minorHAnsi" w:cs="Tahoma"/>
          <w:sz w:val="23"/>
          <w:szCs w:val="23"/>
        </w:rPr>
        <w:t>TTK, Yönetmelik ve tescil edilmiş mevcut</w:t>
      </w:r>
      <w:r w:rsidR="00650AC1" w:rsidRPr="00ED5568">
        <w:rPr>
          <w:rFonts w:asciiTheme="minorHAnsi" w:hAnsiTheme="minorHAnsi" w:cs="Tahoma"/>
          <w:sz w:val="23"/>
          <w:szCs w:val="23"/>
        </w:rPr>
        <w:t xml:space="preserve"> Ana Sözleşmemizde yer alan hükümler</w:t>
      </w:r>
      <w:r w:rsidR="00E43A28">
        <w:rPr>
          <w:rFonts w:asciiTheme="minorHAnsi" w:hAnsiTheme="minorHAnsi" w:cs="Tahoma"/>
          <w:sz w:val="23"/>
          <w:szCs w:val="23"/>
        </w:rPr>
        <w:t>e göre ve alınacak onaylara bağlı olmak üzere</w:t>
      </w:r>
      <w:r w:rsidR="00650AC1" w:rsidRPr="00ED5568">
        <w:rPr>
          <w:rFonts w:asciiTheme="minorHAnsi" w:hAnsiTheme="minorHAnsi" w:cs="Tahoma"/>
          <w:sz w:val="23"/>
          <w:szCs w:val="23"/>
        </w:rPr>
        <w:t xml:space="preserve"> Yönetim Kurulu üyeleri seçilecektir.</w:t>
      </w:r>
      <w:r>
        <w:rPr>
          <w:rFonts w:asciiTheme="minorHAnsi" w:hAnsiTheme="minorHAnsi" w:cs="Tahoma"/>
          <w:sz w:val="23"/>
          <w:szCs w:val="23"/>
        </w:rPr>
        <w:t xml:space="preserve"> Yönetim Kurulu üyelerinin şirket dışında aldıkları görevler ve gerekçeleri pay sahiplerinin bilgisine sunulacaktır.</w:t>
      </w:r>
      <w:r w:rsidR="00FC3832">
        <w:rPr>
          <w:rFonts w:asciiTheme="minorHAnsi" w:hAnsiTheme="minorHAnsi" w:cs="Tahoma"/>
          <w:sz w:val="23"/>
          <w:szCs w:val="23"/>
        </w:rPr>
        <w:t xml:space="preserve"> </w:t>
      </w:r>
      <w:r w:rsidR="00650AC1" w:rsidRPr="00ED5568">
        <w:rPr>
          <w:rFonts w:asciiTheme="minorHAnsi" w:hAnsiTheme="minorHAnsi" w:cs="Tahoma"/>
          <w:sz w:val="23"/>
          <w:szCs w:val="23"/>
        </w:rPr>
        <w:t>A</w:t>
      </w:r>
      <w:r w:rsidR="00D32A4D">
        <w:rPr>
          <w:rFonts w:asciiTheme="minorHAnsi" w:hAnsiTheme="minorHAnsi" w:cs="Tahoma"/>
          <w:sz w:val="23"/>
          <w:szCs w:val="23"/>
        </w:rPr>
        <w:t>na Sözleşmemizin 8. maddesine gö</w:t>
      </w:r>
      <w:r w:rsidR="00650AC1" w:rsidRPr="00ED5568">
        <w:rPr>
          <w:rFonts w:asciiTheme="minorHAnsi" w:hAnsiTheme="minorHAnsi" w:cs="Tahoma"/>
          <w:sz w:val="23"/>
          <w:szCs w:val="23"/>
        </w:rPr>
        <w:t>re;</w:t>
      </w:r>
      <w:r w:rsidR="00265270">
        <w:rPr>
          <w:rFonts w:asciiTheme="minorHAnsi" w:hAnsiTheme="minorHAnsi" w:cs="Tahoma"/>
          <w:sz w:val="23"/>
          <w:szCs w:val="23"/>
        </w:rPr>
        <w:t xml:space="preserve"> </w:t>
      </w:r>
      <w:r w:rsidR="00650AC1" w:rsidRPr="00ED5568">
        <w:rPr>
          <w:rFonts w:asciiTheme="minorHAnsi" w:hAnsiTheme="minorHAnsi" w:cs="Tahoma"/>
          <w:sz w:val="23"/>
          <w:szCs w:val="23"/>
        </w:rPr>
        <w:t>Yönetim Kurulu üyeleri (A) Grubu pay sahiplerinin göstereceği adaylar arasından seçilir.</w:t>
      </w:r>
    </w:p>
    <w:p w14:paraId="5E28A08C" w14:textId="77777777" w:rsidR="00ED5568" w:rsidRPr="00502C9F" w:rsidRDefault="00ED5568" w:rsidP="00BF5670">
      <w:pPr>
        <w:tabs>
          <w:tab w:val="num" w:pos="567"/>
        </w:tabs>
        <w:ind w:left="567" w:hanging="567"/>
        <w:jc w:val="both"/>
        <w:rPr>
          <w:rFonts w:asciiTheme="minorHAnsi" w:hAnsiTheme="minorHAnsi" w:cs="Tahoma"/>
          <w:sz w:val="23"/>
          <w:szCs w:val="23"/>
        </w:rPr>
      </w:pPr>
    </w:p>
    <w:p w14:paraId="57A3FC57" w14:textId="70B8EC23" w:rsidR="00236C85" w:rsidRPr="00236C85" w:rsidRDefault="00236C85" w:rsidP="00E54F74">
      <w:pPr>
        <w:pStyle w:val="ListeParagraf"/>
        <w:numPr>
          <w:ilvl w:val="0"/>
          <w:numId w:val="2"/>
        </w:numPr>
        <w:ind w:left="567" w:right="708" w:hanging="644"/>
        <w:jc w:val="both"/>
        <w:rPr>
          <w:rFonts w:asciiTheme="minorHAnsi" w:hAnsiTheme="minorHAnsi" w:cstheme="minorHAnsi"/>
          <w:b/>
          <w:sz w:val="23"/>
          <w:szCs w:val="23"/>
        </w:rPr>
      </w:pPr>
      <w:r w:rsidRPr="00236C85">
        <w:rPr>
          <w:rFonts w:asciiTheme="minorHAnsi" w:hAnsiTheme="minorHAnsi" w:cstheme="minorHAnsi"/>
          <w:b/>
          <w:sz w:val="23"/>
          <w:szCs w:val="23"/>
        </w:rPr>
        <w:t xml:space="preserve">Yönetim Kurulu Üyelerinin ücretlerinin belirlenmesi </w:t>
      </w:r>
    </w:p>
    <w:p w14:paraId="49147B82" w14:textId="77777777" w:rsidR="00650AC1" w:rsidRPr="00502C9F" w:rsidRDefault="00650AC1" w:rsidP="00BF5670">
      <w:pPr>
        <w:tabs>
          <w:tab w:val="num" w:pos="567"/>
        </w:tabs>
        <w:ind w:left="567" w:right="708" w:hanging="567"/>
        <w:jc w:val="both"/>
        <w:rPr>
          <w:rFonts w:asciiTheme="minorHAnsi" w:hAnsiTheme="minorHAnsi" w:cs="Tahoma"/>
          <w:sz w:val="10"/>
          <w:szCs w:val="10"/>
          <w:highlight w:val="yellow"/>
        </w:rPr>
      </w:pPr>
    </w:p>
    <w:p w14:paraId="31D30544" w14:textId="77777777" w:rsidR="00B521D2" w:rsidRDefault="00BF5670" w:rsidP="00BF5670">
      <w:pPr>
        <w:pStyle w:val="ListeParagraf"/>
        <w:tabs>
          <w:tab w:val="num" w:pos="567"/>
        </w:tabs>
        <w:ind w:left="567" w:hanging="567"/>
        <w:jc w:val="both"/>
        <w:rPr>
          <w:rFonts w:asciiTheme="minorHAnsi" w:hAnsiTheme="minorHAnsi" w:cs="Tahoma"/>
          <w:sz w:val="23"/>
          <w:szCs w:val="23"/>
        </w:rPr>
      </w:pPr>
      <w:r w:rsidRPr="00236C85">
        <w:rPr>
          <w:rFonts w:asciiTheme="minorHAnsi" w:hAnsiTheme="minorHAnsi" w:cs="Tahoma"/>
          <w:sz w:val="23"/>
          <w:szCs w:val="23"/>
        </w:rPr>
        <w:tab/>
      </w:r>
      <w:r w:rsidR="00236C85" w:rsidRPr="00236C85">
        <w:rPr>
          <w:rFonts w:asciiTheme="minorHAnsi" w:hAnsiTheme="minorHAnsi" w:cs="Tahoma"/>
          <w:sz w:val="23"/>
          <w:szCs w:val="23"/>
        </w:rPr>
        <w:t xml:space="preserve">TTK, </w:t>
      </w:r>
      <w:r w:rsidR="00650AC1" w:rsidRPr="00236C85">
        <w:rPr>
          <w:rFonts w:asciiTheme="minorHAnsi" w:hAnsiTheme="minorHAnsi" w:cs="Tahoma"/>
          <w:sz w:val="23"/>
          <w:szCs w:val="23"/>
        </w:rPr>
        <w:t>Yönetmelik</w:t>
      </w:r>
      <w:r w:rsidR="00236C85" w:rsidRPr="00236C85">
        <w:rPr>
          <w:rFonts w:asciiTheme="minorHAnsi" w:hAnsiTheme="minorHAnsi" w:cs="Tahoma"/>
          <w:sz w:val="23"/>
          <w:szCs w:val="23"/>
        </w:rPr>
        <w:t xml:space="preserve"> ve Sermaye Piyasası Mevzuatı</w:t>
      </w:r>
      <w:r w:rsidR="00650AC1" w:rsidRPr="00236C85">
        <w:rPr>
          <w:rFonts w:asciiTheme="minorHAnsi" w:hAnsiTheme="minorHAnsi" w:cs="Tahoma"/>
          <w:sz w:val="23"/>
          <w:szCs w:val="23"/>
        </w:rPr>
        <w:t xml:space="preserve"> hükümleri ile Ana Sözleşmemizde yer alan esaslar çerçevesin</w:t>
      </w:r>
      <w:r w:rsidR="00236C85" w:rsidRPr="00236C85">
        <w:rPr>
          <w:rFonts w:asciiTheme="minorHAnsi" w:hAnsiTheme="minorHAnsi" w:cs="Tahoma"/>
          <w:sz w:val="23"/>
          <w:szCs w:val="23"/>
        </w:rPr>
        <w:t>de Yönetim Kurulu üyelerinin</w:t>
      </w:r>
      <w:r w:rsidR="00D32A4D">
        <w:rPr>
          <w:rFonts w:asciiTheme="minorHAnsi" w:hAnsiTheme="minorHAnsi" w:cs="Tahoma"/>
          <w:sz w:val="23"/>
          <w:szCs w:val="23"/>
        </w:rPr>
        <w:t xml:space="preserve"> </w:t>
      </w:r>
      <w:r w:rsidR="00650AC1" w:rsidRPr="00236C85">
        <w:rPr>
          <w:rFonts w:asciiTheme="minorHAnsi" w:hAnsiTheme="minorHAnsi" w:cs="Tahoma"/>
          <w:sz w:val="23"/>
          <w:szCs w:val="23"/>
        </w:rPr>
        <w:t>ücretleri belirlenecektir.</w:t>
      </w:r>
    </w:p>
    <w:p w14:paraId="077DCFC8" w14:textId="77777777" w:rsidR="00B521D2" w:rsidRPr="00FB3C42" w:rsidRDefault="00B521D2" w:rsidP="00BF5670">
      <w:pPr>
        <w:pStyle w:val="ListeParagraf"/>
        <w:tabs>
          <w:tab w:val="num" w:pos="567"/>
        </w:tabs>
        <w:ind w:left="567" w:hanging="567"/>
        <w:jc w:val="both"/>
        <w:rPr>
          <w:rFonts w:asciiTheme="minorHAnsi" w:hAnsiTheme="minorHAnsi" w:cs="Tahoma"/>
        </w:rPr>
      </w:pPr>
    </w:p>
    <w:p w14:paraId="0098E97A" w14:textId="3ED4471D" w:rsidR="009C0BCD" w:rsidRPr="009C0BCD" w:rsidRDefault="009C0BCD" w:rsidP="00E54F74">
      <w:pPr>
        <w:pStyle w:val="ListeParagraf"/>
        <w:numPr>
          <w:ilvl w:val="0"/>
          <w:numId w:val="2"/>
        </w:numPr>
        <w:ind w:left="567" w:hanging="644"/>
        <w:jc w:val="both"/>
        <w:rPr>
          <w:rFonts w:asciiTheme="minorHAnsi" w:hAnsiTheme="minorHAnsi" w:cstheme="minorHAnsi"/>
          <w:b/>
          <w:sz w:val="23"/>
          <w:szCs w:val="23"/>
        </w:rPr>
      </w:pPr>
      <w:r w:rsidRPr="009C0BCD">
        <w:rPr>
          <w:rFonts w:asciiTheme="minorHAnsi" w:hAnsiTheme="minorHAnsi" w:cstheme="minorHAnsi"/>
          <w:b/>
          <w:sz w:val="23"/>
          <w:szCs w:val="23"/>
        </w:rPr>
        <w:t>Türk Ticaret Kanunu’nun 395. ve 396. maddelerinde yazılı muameleleri yapabilmeleri için ilgili mevzuatta belirtilen kişilere izin verilmesi</w:t>
      </w:r>
    </w:p>
    <w:p w14:paraId="05419B2E" w14:textId="77777777" w:rsidR="009C0BCD" w:rsidRPr="00502C9F" w:rsidRDefault="009C0BCD" w:rsidP="00BF5670">
      <w:pPr>
        <w:pStyle w:val="ListeParagraf"/>
        <w:tabs>
          <w:tab w:val="num" w:pos="567"/>
        </w:tabs>
        <w:ind w:left="567" w:hanging="567"/>
        <w:jc w:val="both"/>
        <w:rPr>
          <w:rFonts w:asciiTheme="minorHAnsi" w:hAnsiTheme="minorHAnsi" w:cs="Tahoma"/>
          <w:sz w:val="10"/>
          <w:szCs w:val="10"/>
          <w:highlight w:val="yellow"/>
        </w:rPr>
      </w:pPr>
    </w:p>
    <w:p w14:paraId="40EAED7B" w14:textId="64661729" w:rsidR="00BB18CA" w:rsidRPr="00BB18CA" w:rsidRDefault="00B17CFD" w:rsidP="002A3948">
      <w:pPr>
        <w:overflowPunct/>
        <w:ind w:left="567"/>
        <w:jc w:val="both"/>
        <w:textAlignment w:val="auto"/>
        <w:rPr>
          <w:rFonts w:asciiTheme="minorHAnsi" w:hAnsiTheme="minorHAnsi" w:cs="Tahoma"/>
          <w:sz w:val="23"/>
          <w:szCs w:val="23"/>
        </w:rPr>
      </w:pPr>
      <w:r w:rsidRPr="00BB18CA">
        <w:rPr>
          <w:rFonts w:asciiTheme="minorHAnsi" w:hAnsiTheme="minorHAnsi" w:cs="Tahoma"/>
          <w:sz w:val="23"/>
          <w:szCs w:val="23"/>
        </w:rPr>
        <w:t>T</w:t>
      </w:r>
      <w:r w:rsidR="002F26D7" w:rsidRPr="00BB18CA">
        <w:rPr>
          <w:rFonts w:asciiTheme="minorHAnsi" w:hAnsiTheme="minorHAnsi" w:cs="Tahoma"/>
          <w:sz w:val="23"/>
          <w:szCs w:val="23"/>
        </w:rPr>
        <w:t xml:space="preserve">ürk </w:t>
      </w:r>
      <w:r w:rsidRPr="00BB18CA">
        <w:rPr>
          <w:rFonts w:asciiTheme="minorHAnsi" w:hAnsiTheme="minorHAnsi" w:cs="Tahoma"/>
          <w:sz w:val="23"/>
          <w:szCs w:val="23"/>
        </w:rPr>
        <w:t>T</w:t>
      </w:r>
      <w:r w:rsidR="002F26D7" w:rsidRPr="00BB18CA">
        <w:rPr>
          <w:rFonts w:asciiTheme="minorHAnsi" w:hAnsiTheme="minorHAnsi" w:cs="Tahoma"/>
          <w:sz w:val="23"/>
          <w:szCs w:val="23"/>
        </w:rPr>
        <w:t xml:space="preserve">icaret </w:t>
      </w:r>
      <w:r w:rsidRPr="00BB18CA">
        <w:rPr>
          <w:rFonts w:asciiTheme="minorHAnsi" w:hAnsiTheme="minorHAnsi" w:cs="Tahoma"/>
          <w:sz w:val="23"/>
          <w:szCs w:val="23"/>
        </w:rPr>
        <w:t>K</w:t>
      </w:r>
      <w:r w:rsidR="002F26D7" w:rsidRPr="00BB18CA">
        <w:rPr>
          <w:rFonts w:asciiTheme="minorHAnsi" w:hAnsiTheme="minorHAnsi" w:cs="Tahoma"/>
          <w:sz w:val="23"/>
          <w:szCs w:val="23"/>
        </w:rPr>
        <w:t>anunu</w:t>
      </w:r>
      <w:r w:rsidRPr="00BB18CA">
        <w:rPr>
          <w:rFonts w:asciiTheme="minorHAnsi" w:hAnsiTheme="minorHAnsi" w:cs="Tahoma"/>
          <w:sz w:val="23"/>
          <w:szCs w:val="23"/>
        </w:rPr>
        <w:t>’n</w:t>
      </w:r>
      <w:r w:rsidR="002F26D7" w:rsidRPr="00BB18CA">
        <w:rPr>
          <w:rFonts w:asciiTheme="minorHAnsi" w:hAnsiTheme="minorHAnsi" w:cs="Tahoma"/>
          <w:sz w:val="23"/>
          <w:szCs w:val="23"/>
        </w:rPr>
        <w:t>un</w:t>
      </w:r>
      <w:r w:rsidRPr="00BB18CA">
        <w:rPr>
          <w:rFonts w:asciiTheme="minorHAnsi" w:hAnsiTheme="minorHAnsi" w:cs="Tahoma"/>
          <w:sz w:val="23"/>
          <w:szCs w:val="23"/>
        </w:rPr>
        <w:t>, “</w:t>
      </w:r>
      <w:r w:rsidR="00BB18CA" w:rsidRPr="00BB18CA">
        <w:rPr>
          <w:rFonts w:asciiTheme="minorHAnsi" w:hAnsiTheme="minorHAnsi" w:cs="Tahoma"/>
          <w:sz w:val="23"/>
          <w:szCs w:val="23"/>
        </w:rPr>
        <w:t>Şirketle işlem yapma, şirkete borçlanma yasağı</w:t>
      </w:r>
      <w:r w:rsidRPr="00BB18CA">
        <w:rPr>
          <w:rFonts w:asciiTheme="minorHAnsi" w:hAnsiTheme="minorHAnsi" w:cs="Tahoma"/>
          <w:sz w:val="23"/>
          <w:szCs w:val="23"/>
        </w:rPr>
        <w:t>” başlıklı 3</w:t>
      </w:r>
      <w:r w:rsidR="00BB18CA" w:rsidRPr="00BB18CA">
        <w:rPr>
          <w:rFonts w:asciiTheme="minorHAnsi" w:hAnsiTheme="minorHAnsi" w:cs="Tahoma"/>
          <w:sz w:val="23"/>
          <w:szCs w:val="23"/>
        </w:rPr>
        <w:t>95</w:t>
      </w:r>
      <w:r w:rsidRPr="00BB18CA">
        <w:rPr>
          <w:rFonts w:asciiTheme="minorHAnsi" w:hAnsiTheme="minorHAnsi" w:cs="Tahoma"/>
          <w:sz w:val="23"/>
          <w:szCs w:val="23"/>
        </w:rPr>
        <w:t xml:space="preserve">. </w:t>
      </w:r>
      <w:r w:rsidR="00265270">
        <w:rPr>
          <w:rFonts w:asciiTheme="minorHAnsi" w:hAnsiTheme="minorHAnsi" w:cs="Tahoma"/>
          <w:sz w:val="23"/>
          <w:szCs w:val="23"/>
        </w:rPr>
        <w:t>m</w:t>
      </w:r>
      <w:r w:rsidRPr="00BB18CA">
        <w:rPr>
          <w:rFonts w:asciiTheme="minorHAnsi" w:hAnsiTheme="minorHAnsi" w:cs="Tahoma"/>
          <w:sz w:val="23"/>
          <w:szCs w:val="23"/>
        </w:rPr>
        <w:t>addesi ve “Rekabet Ya</w:t>
      </w:r>
      <w:r w:rsidR="002F26D7" w:rsidRPr="00BB18CA">
        <w:rPr>
          <w:rFonts w:asciiTheme="minorHAnsi" w:hAnsiTheme="minorHAnsi" w:cs="Tahoma"/>
          <w:sz w:val="23"/>
          <w:szCs w:val="23"/>
        </w:rPr>
        <w:t>sağı” başlıklı 3</w:t>
      </w:r>
      <w:r w:rsidR="00BB18CA" w:rsidRPr="00BB18CA">
        <w:rPr>
          <w:rFonts w:asciiTheme="minorHAnsi" w:hAnsiTheme="minorHAnsi" w:cs="Tahoma"/>
          <w:sz w:val="23"/>
          <w:szCs w:val="23"/>
        </w:rPr>
        <w:t>96</w:t>
      </w:r>
      <w:r w:rsidR="002F26D7" w:rsidRPr="00BB18CA">
        <w:rPr>
          <w:rFonts w:asciiTheme="minorHAnsi" w:hAnsiTheme="minorHAnsi" w:cs="Tahoma"/>
          <w:sz w:val="23"/>
          <w:szCs w:val="23"/>
        </w:rPr>
        <w:t xml:space="preserve">. </w:t>
      </w:r>
      <w:r w:rsidR="00265270">
        <w:rPr>
          <w:rFonts w:asciiTheme="minorHAnsi" w:hAnsiTheme="minorHAnsi" w:cs="Tahoma"/>
          <w:sz w:val="23"/>
          <w:szCs w:val="23"/>
        </w:rPr>
        <w:t>m</w:t>
      </w:r>
      <w:r w:rsidR="002F26D7" w:rsidRPr="00BB18CA">
        <w:rPr>
          <w:rFonts w:asciiTheme="minorHAnsi" w:hAnsiTheme="minorHAnsi" w:cs="Tahoma"/>
          <w:sz w:val="23"/>
          <w:szCs w:val="23"/>
        </w:rPr>
        <w:t>adde</w:t>
      </w:r>
      <w:r w:rsidR="00265270">
        <w:rPr>
          <w:rFonts w:asciiTheme="minorHAnsi" w:hAnsiTheme="minorHAnsi" w:cs="Tahoma"/>
          <w:sz w:val="23"/>
          <w:szCs w:val="23"/>
        </w:rPr>
        <w:t>sinde</w:t>
      </w:r>
      <w:r w:rsidR="00BB18CA" w:rsidRPr="00BB18CA">
        <w:rPr>
          <w:rFonts w:asciiTheme="minorHAnsi" w:hAnsiTheme="minorHAnsi" w:cs="Tahoma"/>
          <w:sz w:val="23"/>
          <w:szCs w:val="23"/>
        </w:rPr>
        <w:t xml:space="preserve"> sayılan işleri yapabilmeleri için, yönetim hakimiyetini elinde bulunduran pay sahipleri, yönetim kurulu üyeleri, üst düzey yöneticiler ve bunların eş ve ikinci dereceye kadar kan ve sıhrî yakınlarına yetki verilmesi hususu ortaklarımızın onayına sunulacaktır.</w:t>
      </w:r>
    </w:p>
    <w:p w14:paraId="0FA56EBF" w14:textId="77777777" w:rsidR="00BB18CA" w:rsidRPr="00FB3C42" w:rsidRDefault="00BB18CA" w:rsidP="002A3948">
      <w:pPr>
        <w:overflowPunct/>
        <w:ind w:left="567"/>
        <w:jc w:val="both"/>
        <w:textAlignment w:val="auto"/>
        <w:rPr>
          <w:rFonts w:asciiTheme="minorHAnsi" w:hAnsiTheme="minorHAnsi" w:cs="Tahoma"/>
          <w:highlight w:val="yellow"/>
        </w:rPr>
      </w:pPr>
    </w:p>
    <w:p w14:paraId="58964E8E" w14:textId="1096D132" w:rsidR="00C97CA2" w:rsidRDefault="00C97CA2" w:rsidP="00E54F74">
      <w:pPr>
        <w:pStyle w:val="ListeParagraf"/>
        <w:numPr>
          <w:ilvl w:val="0"/>
          <w:numId w:val="2"/>
        </w:numPr>
        <w:ind w:left="567" w:hanging="567"/>
        <w:jc w:val="both"/>
        <w:rPr>
          <w:rFonts w:asciiTheme="minorHAnsi" w:hAnsiTheme="minorHAnsi" w:cstheme="minorHAnsi"/>
          <w:b/>
          <w:sz w:val="23"/>
          <w:szCs w:val="23"/>
        </w:rPr>
      </w:pPr>
      <w:r>
        <w:rPr>
          <w:rFonts w:asciiTheme="minorHAnsi" w:hAnsiTheme="minorHAnsi" w:cstheme="minorHAnsi"/>
          <w:b/>
          <w:sz w:val="23"/>
          <w:szCs w:val="23"/>
        </w:rPr>
        <w:t>Sermaye Piyasası Kurulu Kurumsal Yönetim İlkeleri’nin 1.3.6 maddesinde yazılı muameleler hakkında Genel Kurul’a bilgi verilmesi</w:t>
      </w:r>
    </w:p>
    <w:p w14:paraId="19508E22" w14:textId="77777777" w:rsidR="00C97CA2" w:rsidRPr="00502C9F" w:rsidRDefault="00C97CA2" w:rsidP="00372884">
      <w:pPr>
        <w:overflowPunct/>
        <w:jc w:val="both"/>
        <w:textAlignment w:val="auto"/>
        <w:rPr>
          <w:rFonts w:asciiTheme="minorHAnsi" w:hAnsiTheme="minorHAnsi" w:cs="Tahoma"/>
          <w:sz w:val="10"/>
          <w:szCs w:val="10"/>
        </w:rPr>
      </w:pPr>
    </w:p>
    <w:p w14:paraId="5ED81F53" w14:textId="189E7B27" w:rsidR="00D27DB4" w:rsidRDefault="00C825D3" w:rsidP="00C825D3">
      <w:pPr>
        <w:overflowPunct/>
        <w:ind w:left="567"/>
        <w:jc w:val="both"/>
        <w:textAlignment w:val="auto"/>
        <w:rPr>
          <w:rFonts w:asciiTheme="minorHAnsi" w:hAnsiTheme="minorHAnsi" w:cs="Tahoma"/>
          <w:sz w:val="23"/>
          <w:szCs w:val="23"/>
        </w:rPr>
      </w:pPr>
      <w:r w:rsidRPr="00BB18CA">
        <w:rPr>
          <w:rFonts w:asciiTheme="minorHAnsi" w:hAnsiTheme="minorHAnsi" w:cs="Tahoma"/>
          <w:sz w:val="23"/>
          <w:szCs w:val="23"/>
        </w:rPr>
        <w:t>Kurumsal Yönetim İlkeleri</w:t>
      </w:r>
      <w:r w:rsidR="00670B13">
        <w:rPr>
          <w:rFonts w:asciiTheme="minorHAnsi" w:hAnsiTheme="minorHAnsi" w:cs="Tahoma"/>
          <w:sz w:val="23"/>
          <w:szCs w:val="23"/>
        </w:rPr>
        <w:t>’</w:t>
      </w:r>
      <w:r w:rsidRPr="00BB18CA">
        <w:rPr>
          <w:rFonts w:asciiTheme="minorHAnsi" w:hAnsiTheme="minorHAnsi" w:cs="Tahoma"/>
          <w:sz w:val="23"/>
          <w:szCs w:val="23"/>
        </w:rPr>
        <w:t>nin 1.3.</w:t>
      </w:r>
      <w:r>
        <w:rPr>
          <w:rFonts w:asciiTheme="minorHAnsi" w:hAnsiTheme="minorHAnsi" w:cs="Tahoma"/>
          <w:sz w:val="23"/>
          <w:szCs w:val="23"/>
        </w:rPr>
        <w:t>6</w:t>
      </w:r>
      <w:r w:rsidRPr="00BB18CA">
        <w:rPr>
          <w:rFonts w:asciiTheme="minorHAnsi" w:hAnsiTheme="minorHAnsi" w:cs="Tahoma"/>
          <w:sz w:val="23"/>
          <w:szCs w:val="23"/>
        </w:rPr>
        <w:t xml:space="preserve"> n</w:t>
      </w:r>
      <w:r w:rsidR="00670B13">
        <w:rPr>
          <w:rFonts w:asciiTheme="minorHAnsi" w:hAnsiTheme="minorHAnsi" w:cs="Tahoma"/>
          <w:sz w:val="23"/>
          <w:szCs w:val="23"/>
        </w:rPr>
        <w:t xml:space="preserve">umaralı </w:t>
      </w:r>
      <w:r w:rsidRPr="00BB18CA">
        <w:rPr>
          <w:rFonts w:asciiTheme="minorHAnsi" w:hAnsiTheme="minorHAnsi" w:cs="Tahoma"/>
          <w:sz w:val="23"/>
          <w:szCs w:val="23"/>
        </w:rPr>
        <w:t xml:space="preserve">zorunlu ilkesi uyarınca, </w:t>
      </w:r>
      <w:r w:rsidR="00265270">
        <w:rPr>
          <w:rFonts w:asciiTheme="minorHAnsi" w:hAnsiTheme="minorHAnsi" w:cs="Tahoma"/>
          <w:sz w:val="23"/>
          <w:szCs w:val="23"/>
        </w:rPr>
        <w:t>y</w:t>
      </w:r>
      <w:r w:rsidRPr="003D11AE">
        <w:rPr>
          <w:rFonts w:asciiTheme="minorHAnsi" w:hAnsiTheme="minorHAnsi" w:cs="Tahoma"/>
          <w:sz w:val="23"/>
          <w:szCs w:val="23"/>
        </w:rPr>
        <w:t>önetim hakimiyetini elinde bulunduran pay sahiplerinin, yönetim kurulu üyelerinin, üst düzey yöneticilerin ve bunların eş ve ikinci dereceye kadar kan ve sıhrî yakınlarının, şirket veya bağlı ortaklıkları ile çıkar çatışmasına neden olabilecek önemli nitelikte işlem yapması ve/veya şirketin veya bağlı ortaklıkların işletme konusuna giren ticari iş türünden bir işlemi kendi veya başkası hesabına yapması veya aynı tür ticari işlerle uğraşan bir başka şirkete sorumluluğu sınırsız ortak sıfatıyla girmesi durumunda söz konusu işlemler hakkında</w:t>
      </w:r>
      <w:r>
        <w:rPr>
          <w:rFonts w:asciiTheme="minorHAnsi" w:hAnsiTheme="minorHAnsi" w:cs="Tahoma"/>
          <w:sz w:val="23"/>
          <w:szCs w:val="23"/>
        </w:rPr>
        <w:t xml:space="preserve"> </w:t>
      </w:r>
      <w:r w:rsidRPr="00BB18CA">
        <w:rPr>
          <w:rFonts w:asciiTheme="minorHAnsi" w:hAnsiTheme="minorHAnsi" w:cs="Tahoma"/>
          <w:sz w:val="23"/>
          <w:szCs w:val="23"/>
        </w:rPr>
        <w:t>Genel Kurul’da bilgi verilmelidir. Bu düzenleme</w:t>
      </w:r>
      <w:r>
        <w:rPr>
          <w:rFonts w:asciiTheme="minorHAnsi" w:hAnsiTheme="minorHAnsi" w:cs="Tahoma"/>
          <w:sz w:val="23"/>
          <w:szCs w:val="23"/>
        </w:rPr>
        <w:t>nin</w:t>
      </w:r>
      <w:r w:rsidRPr="00BB18CA">
        <w:rPr>
          <w:rFonts w:asciiTheme="minorHAnsi" w:hAnsiTheme="minorHAnsi" w:cs="Tahoma"/>
          <w:sz w:val="23"/>
          <w:szCs w:val="23"/>
        </w:rPr>
        <w:t xml:space="preserve"> gere</w:t>
      </w:r>
      <w:r w:rsidRPr="00BB18CA">
        <w:rPr>
          <w:rFonts w:asciiTheme="minorHAnsi" w:hAnsiTheme="minorHAnsi" w:cs="Tahoma" w:hint="eastAsia"/>
          <w:sz w:val="23"/>
          <w:szCs w:val="23"/>
        </w:rPr>
        <w:t>ğ</w:t>
      </w:r>
      <w:r w:rsidRPr="00BB18CA">
        <w:rPr>
          <w:rFonts w:asciiTheme="minorHAnsi" w:hAnsiTheme="minorHAnsi" w:cs="Tahoma"/>
          <w:sz w:val="23"/>
          <w:szCs w:val="23"/>
        </w:rPr>
        <w:t>ini yerine getirebilmek amacıyla, yıl içinde bu nitelikte gerçekleştirilen işlemler hakkında pay sahiplerine bilgi verilecektir.</w:t>
      </w:r>
    </w:p>
    <w:p w14:paraId="1AE7B0B1" w14:textId="77777777" w:rsidR="004E3F79" w:rsidRPr="004E3F79" w:rsidRDefault="004E3F79" w:rsidP="00F77D25">
      <w:pPr>
        <w:rPr>
          <w:rFonts w:cs="Tahoma"/>
        </w:rPr>
      </w:pPr>
    </w:p>
    <w:p w14:paraId="4572480C" w14:textId="09C61EC3" w:rsidR="009F7F07" w:rsidRPr="00E66F82" w:rsidRDefault="007867A8" w:rsidP="00E54F74">
      <w:pPr>
        <w:pStyle w:val="ListeParagraf"/>
        <w:numPr>
          <w:ilvl w:val="0"/>
          <w:numId w:val="2"/>
        </w:numPr>
        <w:ind w:left="567" w:hanging="567"/>
        <w:jc w:val="both"/>
        <w:rPr>
          <w:rFonts w:asciiTheme="minorHAnsi" w:hAnsiTheme="minorHAnsi" w:cstheme="minorHAnsi"/>
          <w:b/>
          <w:sz w:val="23"/>
          <w:szCs w:val="23"/>
        </w:rPr>
      </w:pPr>
      <w:r w:rsidRPr="00E66F82">
        <w:rPr>
          <w:rFonts w:asciiTheme="minorHAnsi" w:hAnsiTheme="minorHAnsi" w:cstheme="minorHAnsi"/>
          <w:b/>
          <w:sz w:val="23"/>
          <w:szCs w:val="23"/>
        </w:rPr>
        <w:t>B</w:t>
      </w:r>
      <w:r w:rsidR="009F7F07" w:rsidRPr="00E66F82">
        <w:rPr>
          <w:rFonts w:asciiTheme="minorHAnsi" w:hAnsiTheme="minorHAnsi" w:cstheme="minorHAnsi"/>
          <w:b/>
          <w:sz w:val="23"/>
          <w:szCs w:val="23"/>
        </w:rPr>
        <w:t xml:space="preserve">ağımsız </w:t>
      </w:r>
      <w:r w:rsidRPr="00E66F82">
        <w:rPr>
          <w:rFonts w:asciiTheme="minorHAnsi" w:hAnsiTheme="minorHAnsi" w:cstheme="minorHAnsi"/>
          <w:b/>
          <w:sz w:val="23"/>
          <w:szCs w:val="23"/>
        </w:rPr>
        <w:t>D</w:t>
      </w:r>
      <w:r w:rsidR="009F7F07" w:rsidRPr="00E66F82">
        <w:rPr>
          <w:rFonts w:asciiTheme="minorHAnsi" w:hAnsiTheme="minorHAnsi" w:cstheme="minorHAnsi"/>
          <w:b/>
          <w:sz w:val="23"/>
          <w:szCs w:val="23"/>
        </w:rPr>
        <w:t xml:space="preserve">enetim </w:t>
      </w:r>
      <w:r w:rsidRPr="00E66F82">
        <w:rPr>
          <w:rFonts w:asciiTheme="minorHAnsi" w:hAnsiTheme="minorHAnsi" w:cstheme="minorHAnsi"/>
          <w:b/>
          <w:sz w:val="23"/>
          <w:szCs w:val="23"/>
        </w:rPr>
        <w:t>K</w:t>
      </w:r>
      <w:r w:rsidR="009F7F07" w:rsidRPr="00E66F82">
        <w:rPr>
          <w:rFonts w:asciiTheme="minorHAnsi" w:hAnsiTheme="minorHAnsi" w:cstheme="minorHAnsi"/>
          <w:b/>
          <w:sz w:val="23"/>
          <w:szCs w:val="23"/>
        </w:rPr>
        <w:t>uruluşunun seçimi</w:t>
      </w:r>
    </w:p>
    <w:p w14:paraId="4C42D4B7" w14:textId="77777777" w:rsidR="00BB18CA" w:rsidRPr="00E66F82" w:rsidRDefault="00BB18CA" w:rsidP="002A3948">
      <w:pPr>
        <w:overflowPunct/>
        <w:ind w:left="567"/>
        <w:jc w:val="both"/>
        <w:textAlignment w:val="auto"/>
        <w:rPr>
          <w:rFonts w:asciiTheme="minorHAnsi" w:hAnsiTheme="minorHAnsi" w:cs="Tahoma"/>
          <w:sz w:val="10"/>
          <w:szCs w:val="10"/>
        </w:rPr>
      </w:pPr>
    </w:p>
    <w:p w14:paraId="429275FE" w14:textId="340D8E49" w:rsidR="004E3F79" w:rsidRDefault="00502C9F" w:rsidP="008E7055">
      <w:pPr>
        <w:pStyle w:val="ListeParagraf"/>
        <w:ind w:left="567"/>
        <w:jc w:val="both"/>
        <w:rPr>
          <w:rFonts w:asciiTheme="minorHAnsi" w:hAnsiTheme="minorHAnsi" w:cs="Tahoma"/>
          <w:sz w:val="23"/>
          <w:szCs w:val="23"/>
        </w:rPr>
      </w:pPr>
      <w:bookmarkStart w:id="2" w:name="_Hlk191650611"/>
      <w:r w:rsidRPr="00E66F82">
        <w:rPr>
          <w:rFonts w:asciiTheme="minorHAnsi" w:hAnsiTheme="minorHAnsi" w:cs="Tahoma"/>
          <w:sz w:val="23"/>
          <w:szCs w:val="23"/>
        </w:rPr>
        <w:t xml:space="preserve">TTK ve Sermaye Piyasası Mevzuatı düzenlemelerine uygun olarak, Şirketimizin </w:t>
      </w:r>
      <w:r w:rsidR="00FC3832" w:rsidRPr="00E66F82">
        <w:rPr>
          <w:rFonts w:asciiTheme="minorHAnsi" w:hAnsiTheme="minorHAnsi" w:cs="Tahoma"/>
          <w:sz w:val="23"/>
          <w:szCs w:val="23"/>
        </w:rPr>
        <w:t>202</w:t>
      </w:r>
      <w:r w:rsidR="003A2F4A">
        <w:rPr>
          <w:rFonts w:asciiTheme="minorHAnsi" w:hAnsiTheme="minorHAnsi" w:cs="Tahoma"/>
          <w:sz w:val="23"/>
          <w:szCs w:val="23"/>
        </w:rPr>
        <w:t>6</w:t>
      </w:r>
      <w:r w:rsidR="00FC3832" w:rsidRPr="00E66F82">
        <w:rPr>
          <w:rFonts w:asciiTheme="minorHAnsi" w:hAnsiTheme="minorHAnsi" w:cs="Tahoma"/>
          <w:sz w:val="23"/>
          <w:szCs w:val="23"/>
        </w:rPr>
        <w:t xml:space="preserve"> yılında</w:t>
      </w:r>
      <w:r w:rsidRPr="00E66F82">
        <w:rPr>
          <w:rFonts w:asciiTheme="minorHAnsi" w:hAnsiTheme="minorHAnsi" w:cs="Tahoma"/>
          <w:sz w:val="23"/>
          <w:szCs w:val="23"/>
        </w:rPr>
        <w:t xml:space="preserve"> bağımsız dış denetimini yapmak </w:t>
      </w:r>
      <w:r w:rsidR="003A2F4A">
        <w:rPr>
          <w:rFonts w:asciiTheme="minorHAnsi" w:hAnsiTheme="minorHAnsi" w:cs="Tahoma"/>
          <w:sz w:val="23"/>
          <w:szCs w:val="23"/>
        </w:rPr>
        <w:t xml:space="preserve">ve </w:t>
      </w:r>
      <w:r w:rsidR="003A2F4A" w:rsidRPr="003A2F4A">
        <w:rPr>
          <w:rFonts w:asciiTheme="minorHAnsi" w:hAnsiTheme="minorHAnsi" w:cs="Tahoma"/>
          <w:sz w:val="23"/>
          <w:szCs w:val="23"/>
        </w:rPr>
        <w:t xml:space="preserve">Kamu Gözetimi, Muhasebe ve Denetim Standartları Kurumu’nun Türkiye Sürdürülebilirlik Raporlama Standartları kapsamında hazırlanacak 2026 dönemine ilişkin raporlamalarının zorunlu sürdürülebilirlik denetimini gerçekleştirmek üzere </w:t>
      </w:r>
      <w:r w:rsidR="009368C5" w:rsidRPr="00E66F82">
        <w:rPr>
          <w:rFonts w:asciiTheme="minorHAnsi" w:hAnsiTheme="minorHAnsi" w:cs="Tahoma"/>
          <w:sz w:val="23"/>
          <w:szCs w:val="23"/>
        </w:rPr>
        <w:t xml:space="preserve">Yönetim Kurulu tarafından belirlenecek olan </w:t>
      </w:r>
      <w:r w:rsidRPr="00E66F82">
        <w:rPr>
          <w:rFonts w:asciiTheme="minorHAnsi" w:hAnsiTheme="minorHAnsi" w:cs="Tahoma"/>
          <w:sz w:val="23"/>
          <w:szCs w:val="23"/>
        </w:rPr>
        <w:t>Bağımsız Denetim Şirketi</w:t>
      </w:r>
      <w:r w:rsidR="009368C5" w:rsidRPr="00E66F82">
        <w:rPr>
          <w:rFonts w:asciiTheme="minorHAnsi" w:hAnsiTheme="minorHAnsi" w:cs="Tahoma"/>
          <w:sz w:val="23"/>
          <w:szCs w:val="23"/>
        </w:rPr>
        <w:t xml:space="preserve"> seçimi</w:t>
      </w:r>
      <w:r w:rsidRPr="00E66F82">
        <w:rPr>
          <w:rFonts w:asciiTheme="minorHAnsi" w:hAnsiTheme="minorHAnsi" w:cs="Tahoma"/>
          <w:sz w:val="23"/>
          <w:szCs w:val="23"/>
        </w:rPr>
        <w:t xml:space="preserve"> Genel Kurul’un onayına sunulacaktır.</w:t>
      </w:r>
      <w:r w:rsidR="00015447" w:rsidRPr="00E66F82">
        <w:rPr>
          <w:rFonts w:asciiTheme="minorHAnsi" w:hAnsiTheme="minorHAnsi" w:cs="Tahoma"/>
          <w:sz w:val="23"/>
          <w:szCs w:val="23"/>
        </w:rPr>
        <w:t xml:space="preserve"> </w:t>
      </w:r>
      <w:bookmarkEnd w:id="2"/>
    </w:p>
    <w:p w14:paraId="323175C9" w14:textId="77777777" w:rsidR="008E7055" w:rsidRPr="00E66F82" w:rsidRDefault="008E7055" w:rsidP="008E7055">
      <w:pPr>
        <w:pStyle w:val="ListeParagraf"/>
        <w:ind w:left="567"/>
        <w:jc w:val="both"/>
        <w:rPr>
          <w:rFonts w:asciiTheme="minorHAnsi" w:hAnsiTheme="minorHAnsi" w:cstheme="minorHAnsi"/>
          <w:b/>
          <w:sz w:val="23"/>
          <w:szCs w:val="23"/>
        </w:rPr>
      </w:pPr>
    </w:p>
    <w:p w14:paraId="20F2A061" w14:textId="14BF4BA8" w:rsidR="003A2F4A" w:rsidRPr="003A2F4A" w:rsidRDefault="003A2F4A" w:rsidP="003A2F4A">
      <w:pPr>
        <w:pStyle w:val="ListeParagraf"/>
        <w:numPr>
          <w:ilvl w:val="0"/>
          <w:numId w:val="2"/>
        </w:numPr>
        <w:ind w:left="567" w:right="708" w:hanging="567"/>
        <w:jc w:val="both"/>
        <w:rPr>
          <w:rFonts w:asciiTheme="minorHAnsi" w:hAnsiTheme="minorHAnsi" w:cstheme="minorHAnsi"/>
          <w:b/>
          <w:sz w:val="23"/>
          <w:szCs w:val="23"/>
        </w:rPr>
      </w:pPr>
      <w:r w:rsidRPr="003A2F4A">
        <w:rPr>
          <w:rFonts w:asciiTheme="minorHAnsi" w:hAnsiTheme="minorHAnsi" w:cstheme="minorHAnsi"/>
          <w:b/>
          <w:sz w:val="23"/>
          <w:szCs w:val="23"/>
        </w:rPr>
        <w:t>Şirketimizin Ana Sözleşmesi’nin 6. maddesinde değişiklik yapılması</w:t>
      </w:r>
    </w:p>
    <w:p w14:paraId="3786E16B" w14:textId="4E52DE6F" w:rsidR="003A2F4A" w:rsidRDefault="003A2F4A" w:rsidP="003A2F4A">
      <w:pPr>
        <w:pStyle w:val="ListeParagraf"/>
        <w:ind w:left="567" w:right="708"/>
        <w:jc w:val="both"/>
        <w:rPr>
          <w:rFonts w:asciiTheme="minorHAnsi" w:hAnsiTheme="minorHAnsi" w:cstheme="minorHAnsi"/>
          <w:b/>
          <w:sz w:val="23"/>
          <w:szCs w:val="23"/>
        </w:rPr>
      </w:pPr>
    </w:p>
    <w:p w14:paraId="5C2C1C51" w14:textId="644A1EFB" w:rsidR="003A2F4A" w:rsidRPr="003A2F4A" w:rsidRDefault="003A2F4A" w:rsidP="00AF283A">
      <w:pPr>
        <w:pStyle w:val="ListeParagraf"/>
        <w:ind w:left="567"/>
        <w:jc w:val="both"/>
        <w:rPr>
          <w:rFonts w:asciiTheme="minorHAnsi" w:hAnsiTheme="minorHAnsi" w:cstheme="minorHAnsi"/>
          <w:sz w:val="23"/>
          <w:szCs w:val="23"/>
        </w:rPr>
      </w:pPr>
      <w:r w:rsidRPr="003A2F4A">
        <w:rPr>
          <w:rFonts w:asciiTheme="minorHAnsi" w:hAnsiTheme="minorHAnsi" w:cstheme="minorHAnsi"/>
          <w:sz w:val="23"/>
          <w:szCs w:val="23"/>
        </w:rPr>
        <w:t>Şirketimizin A</w:t>
      </w:r>
      <w:r w:rsidR="00B16372">
        <w:rPr>
          <w:rFonts w:asciiTheme="minorHAnsi" w:hAnsiTheme="minorHAnsi" w:cstheme="minorHAnsi"/>
          <w:sz w:val="23"/>
          <w:szCs w:val="23"/>
        </w:rPr>
        <w:t>n</w:t>
      </w:r>
      <w:r w:rsidRPr="003A2F4A">
        <w:rPr>
          <w:rFonts w:asciiTheme="minorHAnsi" w:hAnsiTheme="minorHAnsi" w:cstheme="minorHAnsi"/>
          <w:sz w:val="23"/>
          <w:szCs w:val="23"/>
        </w:rPr>
        <w:t>a Sözleşmesi’nin 6. maddesinin tadil edilmesi hususu ortaklarımızın onayına sunulacaktır.</w:t>
      </w:r>
    </w:p>
    <w:p w14:paraId="67597A5A" w14:textId="201DB598" w:rsidR="003A2F4A" w:rsidRDefault="003A2F4A" w:rsidP="003A2F4A">
      <w:pPr>
        <w:pStyle w:val="ListeParagraf"/>
        <w:ind w:left="567" w:right="708"/>
        <w:jc w:val="both"/>
        <w:rPr>
          <w:rFonts w:asciiTheme="minorHAnsi" w:hAnsiTheme="minorHAnsi" w:cstheme="minorHAnsi"/>
          <w:b/>
          <w:sz w:val="23"/>
          <w:szCs w:val="23"/>
        </w:rPr>
      </w:pPr>
    </w:p>
    <w:p w14:paraId="2ECC4F41" w14:textId="2B103476" w:rsidR="009D6AC4" w:rsidRDefault="009D6AC4" w:rsidP="003A2F4A">
      <w:pPr>
        <w:pStyle w:val="ListeParagraf"/>
        <w:ind w:left="567" w:right="708"/>
        <w:jc w:val="both"/>
        <w:rPr>
          <w:rFonts w:asciiTheme="minorHAnsi" w:hAnsiTheme="minorHAnsi" w:cstheme="minorHAnsi"/>
          <w:b/>
          <w:sz w:val="23"/>
          <w:szCs w:val="23"/>
        </w:rPr>
      </w:pPr>
    </w:p>
    <w:p w14:paraId="27B958ED" w14:textId="0C954F92" w:rsidR="00247DA0" w:rsidRDefault="00247DA0" w:rsidP="003A2F4A">
      <w:pPr>
        <w:pStyle w:val="ListeParagraf"/>
        <w:ind w:left="567" w:right="708"/>
        <w:jc w:val="both"/>
        <w:rPr>
          <w:rFonts w:asciiTheme="minorHAnsi" w:hAnsiTheme="minorHAnsi" w:cstheme="minorHAnsi"/>
          <w:b/>
          <w:sz w:val="23"/>
          <w:szCs w:val="23"/>
        </w:rPr>
      </w:pPr>
    </w:p>
    <w:p w14:paraId="571A54DA" w14:textId="7E6B8544" w:rsidR="00247DA0" w:rsidRDefault="00247DA0" w:rsidP="003A2F4A">
      <w:pPr>
        <w:pStyle w:val="ListeParagraf"/>
        <w:ind w:left="567" w:right="708"/>
        <w:jc w:val="both"/>
        <w:rPr>
          <w:rFonts w:asciiTheme="minorHAnsi" w:hAnsiTheme="minorHAnsi" w:cstheme="minorHAnsi"/>
          <w:b/>
          <w:sz w:val="23"/>
          <w:szCs w:val="23"/>
        </w:rPr>
      </w:pPr>
    </w:p>
    <w:p w14:paraId="7DE48D24" w14:textId="77777777" w:rsidR="00247DA0" w:rsidRDefault="00247DA0" w:rsidP="003A2F4A">
      <w:pPr>
        <w:pStyle w:val="ListeParagraf"/>
        <w:ind w:left="567" w:right="708"/>
        <w:jc w:val="both"/>
        <w:rPr>
          <w:rFonts w:asciiTheme="minorHAnsi" w:hAnsiTheme="minorHAnsi" w:cstheme="minorHAnsi"/>
          <w:b/>
          <w:sz w:val="23"/>
          <w:szCs w:val="23"/>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4654"/>
        <w:gridCol w:w="4702"/>
      </w:tblGrid>
      <w:tr w:rsidR="0094573A" w:rsidRPr="00C12D9A" w14:paraId="72E48DBA" w14:textId="77777777" w:rsidTr="003811AF">
        <w:tc>
          <w:tcPr>
            <w:tcW w:w="4654" w:type="dxa"/>
          </w:tcPr>
          <w:p w14:paraId="4CEBAFB5" w14:textId="20C021D4" w:rsidR="007B250E" w:rsidRPr="007B250E" w:rsidRDefault="007B250E" w:rsidP="0056477A">
            <w:pPr>
              <w:jc w:val="both"/>
              <w:rPr>
                <w:rFonts w:asciiTheme="minorHAnsi" w:hAnsiTheme="minorHAnsi" w:cstheme="minorHAnsi"/>
                <w:b/>
                <w:bCs/>
                <w:sz w:val="14"/>
                <w:u w:val="single"/>
              </w:rPr>
            </w:pPr>
            <w:bookmarkStart w:id="3" w:name="_Hlk223095139"/>
            <w:r w:rsidRPr="007B250E">
              <w:rPr>
                <w:rFonts w:asciiTheme="minorHAnsi" w:hAnsiTheme="minorHAnsi" w:cstheme="minorHAnsi"/>
                <w:b/>
                <w:bCs/>
                <w:sz w:val="14"/>
                <w:u w:val="single"/>
              </w:rPr>
              <w:lastRenderedPageBreak/>
              <w:t>Eski Hali</w:t>
            </w:r>
          </w:p>
          <w:p w14:paraId="5CEFDFA0" w14:textId="77777777" w:rsidR="007B250E" w:rsidRDefault="007B250E" w:rsidP="0056477A">
            <w:pPr>
              <w:jc w:val="both"/>
              <w:rPr>
                <w:rFonts w:asciiTheme="minorHAnsi" w:hAnsiTheme="minorHAnsi" w:cstheme="minorHAnsi"/>
                <w:b/>
                <w:bCs/>
                <w:sz w:val="14"/>
              </w:rPr>
            </w:pPr>
          </w:p>
          <w:p w14:paraId="52DFCCDA" w14:textId="08C08661" w:rsidR="0094573A" w:rsidRPr="0094573A" w:rsidRDefault="0094573A" w:rsidP="0056477A">
            <w:pPr>
              <w:jc w:val="both"/>
              <w:rPr>
                <w:rFonts w:asciiTheme="minorHAnsi" w:hAnsiTheme="minorHAnsi" w:cstheme="minorHAnsi"/>
                <w:b/>
                <w:bCs/>
                <w:sz w:val="14"/>
              </w:rPr>
            </w:pPr>
            <w:r w:rsidRPr="0094573A">
              <w:rPr>
                <w:rFonts w:asciiTheme="minorHAnsi" w:hAnsiTheme="minorHAnsi" w:cstheme="minorHAnsi"/>
                <w:b/>
                <w:bCs/>
                <w:sz w:val="14"/>
              </w:rPr>
              <w:t xml:space="preserve">Sermaye ve Payların Türü </w:t>
            </w:r>
          </w:p>
          <w:p w14:paraId="6EC2A680" w14:textId="77777777" w:rsidR="0094573A" w:rsidRPr="0094573A" w:rsidRDefault="0094573A" w:rsidP="0056477A">
            <w:pPr>
              <w:jc w:val="both"/>
              <w:rPr>
                <w:rFonts w:asciiTheme="minorHAnsi" w:hAnsiTheme="minorHAnsi" w:cstheme="minorHAnsi"/>
                <w:b/>
                <w:bCs/>
                <w:sz w:val="14"/>
                <w:szCs w:val="16"/>
              </w:rPr>
            </w:pPr>
          </w:p>
          <w:p w14:paraId="3C7A7E80" w14:textId="77777777" w:rsidR="0094573A" w:rsidRPr="0094573A" w:rsidRDefault="0094573A" w:rsidP="0056477A">
            <w:pPr>
              <w:jc w:val="both"/>
              <w:rPr>
                <w:rFonts w:asciiTheme="minorHAnsi" w:hAnsiTheme="minorHAnsi" w:cstheme="minorHAnsi"/>
                <w:b/>
                <w:bCs/>
                <w:sz w:val="14"/>
                <w:u w:val="single"/>
              </w:rPr>
            </w:pPr>
            <w:r w:rsidRPr="0094573A">
              <w:rPr>
                <w:rFonts w:asciiTheme="minorHAnsi" w:hAnsiTheme="minorHAnsi" w:cstheme="minorHAnsi"/>
                <w:b/>
                <w:bCs/>
                <w:sz w:val="14"/>
                <w:u w:val="single"/>
              </w:rPr>
              <w:t>Madde 6</w:t>
            </w:r>
          </w:p>
          <w:p w14:paraId="4253D409" w14:textId="77777777" w:rsidR="0094573A" w:rsidRPr="0094573A" w:rsidRDefault="0094573A" w:rsidP="0056477A">
            <w:pPr>
              <w:jc w:val="both"/>
              <w:rPr>
                <w:rFonts w:asciiTheme="minorHAnsi" w:hAnsiTheme="minorHAnsi" w:cstheme="minorHAnsi"/>
                <w:sz w:val="14"/>
                <w:szCs w:val="16"/>
              </w:rPr>
            </w:pPr>
          </w:p>
          <w:p w14:paraId="24FA2773" w14:textId="77777777" w:rsidR="0094573A" w:rsidRPr="0094573A" w:rsidRDefault="0094573A" w:rsidP="0056477A">
            <w:pPr>
              <w:pStyle w:val="Default"/>
              <w:jc w:val="both"/>
              <w:rPr>
                <w:rFonts w:asciiTheme="minorHAnsi" w:hAnsiTheme="minorHAnsi" w:cstheme="minorHAnsi"/>
                <w:sz w:val="14"/>
                <w:szCs w:val="18"/>
              </w:rPr>
            </w:pPr>
            <w:r w:rsidRPr="0094573A">
              <w:rPr>
                <w:rFonts w:asciiTheme="minorHAnsi" w:hAnsiTheme="minorHAnsi" w:cstheme="minorHAnsi"/>
                <w:bCs/>
                <w:color w:val="auto"/>
                <w:sz w:val="14"/>
                <w:szCs w:val="18"/>
              </w:rPr>
              <w:t>Şirket, Sermaye Piyasası Kanunu hükümlerine göre kayıtlı sermaye sistemini kabul etmiş ve Sermaye Piyasası Kurulu’nun 04.07.2000 tarih ve 73/1159 sayılı izni ile bu sisteme geçmiştir.</w:t>
            </w:r>
            <w:r w:rsidRPr="0094573A">
              <w:rPr>
                <w:rFonts w:asciiTheme="minorHAnsi" w:hAnsiTheme="minorHAnsi" w:cstheme="minorHAnsi"/>
                <w:sz w:val="14"/>
                <w:szCs w:val="18"/>
              </w:rPr>
              <w:t xml:space="preserve"> </w:t>
            </w:r>
          </w:p>
          <w:p w14:paraId="2BC839E0" w14:textId="77777777" w:rsidR="0094573A" w:rsidRPr="0094573A" w:rsidRDefault="0094573A" w:rsidP="0056477A">
            <w:pPr>
              <w:pStyle w:val="Default"/>
              <w:jc w:val="both"/>
              <w:rPr>
                <w:rFonts w:asciiTheme="minorHAnsi" w:hAnsiTheme="minorHAnsi" w:cstheme="minorHAnsi"/>
                <w:sz w:val="14"/>
                <w:szCs w:val="18"/>
              </w:rPr>
            </w:pPr>
          </w:p>
          <w:p w14:paraId="3B610AB6" w14:textId="77777777" w:rsidR="0094573A" w:rsidRPr="0094573A" w:rsidRDefault="0094573A" w:rsidP="0056477A">
            <w:pPr>
              <w:jc w:val="both"/>
              <w:rPr>
                <w:rFonts w:asciiTheme="minorHAnsi" w:hAnsiTheme="minorHAnsi" w:cstheme="minorHAnsi"/>
                <w:sz w:val="14"/>
                <w:szCs w:val="18"/>
              </w:rPr>
            </w:pPr>
            <w:r w:rsidRPr="0094573A">
              <w:rPr>
                <w:rFonts w:asciiTheme="minorHAnsi" w:hAnsiTheme="minorHAnsi" w:cstheme="minorHAnsi"/>
                <w:sz w:val="14"/>
                <w:szCs w:val="18"/>
              </w:rPr>
              <w:t>Şirket’in kayıtlı sermaye tavanı 1.200.000.000.- TL olup, her biri 1 Kuruş (</w:t>
            </w:r>
            <w:proofErr w:type="spellStart"/>
            <w:r w:rsidRPr="0094573A">
              <w:rPr>
                <w:rFonts w:asciiTheme="minorHAnsi" w:hAnsiTheme="minorHAnsi" w:cstheme="minorHAnsi"/>
                <w:sz w:val="14"/>
                <w:szCs w:val="18"/>
              </w:rPr>
              <w:t>Kr</w:t>
            </w:r>
            <w:proofErr w:type="spellEnd"/>
            <w:r w:rsidRPr="0094573A">
              <w:rPr>
                <w:rFonts w:asciiTheme="minorHAnsi" w:hAnsiTheme="minorHAnsi" w:cstheme="minorHAnsi"/>
                <w:sz w:val="14"/>
                <w:szCs w:val="18"/>
              </w:rPr>
              <w:t>) itibari değerde 120.000.000.000 adet paya bölünmüştür.</w:t>
            </w:r>
          </w:p>
          <w:p w14:paraId="14E4B4C6" w14:textId="77777777" w:rsidR="0094573A" w:rsidRPr="0094573A" w:rsidRDefault="0094573A" w:rsidP="0056477A">
            <w:pPr>
              <w:jc w:val="both"/>
              <w:rPr>
                <w:rFonts w:asciiTheme="minorHAnsi" w:hAnsiTheme="minorHAnsi" w:cstheme="minorHAnsi"/>
                <w:sz w:val="14"/>
                <w:szCs w:val="18"/>
              </w:rPr>
            </w:pPr>
            <w:r w:rsidRPr="0094573A">
              <w:rPr>
                <w:rFonts w:asciiTheme="minorHAnsi" w:hAnsiTheme="minorHAnsi" w:cstheme="minorHAnsi"/>
                <w:sz w:val="14"/>
                <w:szCs w:val="18"/>
              </w:rPr>
              <w:t xml:space="preserve"> </w:t>
            </w:r>
          </w:p>
          <w:p w14:paraId="4F04EA7B" w14:textId="77777777" w:rsidR="0094573A" w:rsidRPr="0094573A" w:rsidRDefault="0094573A" w:rsidP="0056477A">
            <w:pPr>
              <w:jc w:val="both"/>
              <w:rPr>
                <w:rFonts w:asciiTheme="minorHAnsi" w:hAnsiTheme="minorHAnsi" w:cstheme="minorHAnsi"/>
                <w:sz w:val="14"/>
                <w:szCs w:val="18"/>
              </w:rPr>
            </w:pPr>
            <w:r w:rsidRPr="0094573A">
              <w:rPr>
                <w:rFonts w:asciiTheme="minorHAnsi" w:hAnsiTheme="minorHAnsi" w:cstheme="minorHAnsi"/>
                <w:sz w:val="14"/>
                <w:szCs w:val="18"/>
              </w:rPr>
              <w:t xml:space="preserve">Şirket’in çıkarılmış sermayesi 695.302.645.-TL olup, bu sermaye her biri 1 </w:t>
            </w:r>
            <w:proofErr w:type="spellStart"/>
            <w:r w:rsidRPr="0094573A">
              <w:rPr>
                <w:rFonts w:asciiTheme="minorHAnsi" w:hAnsiTheme="minorHAnsi" w:cstheme="minorHAnsi"/>
                <w:sz w:val="14"/>
                <w:szCs w:val="18"/>
              </w:rPr>
              <w:t>Kr</w:t>
            </w:r>
            <w:proofErr w:type="spellEnd"/>
            <w:r w:rsidRPr="0094573A">
              <w:rPr>
                <w:rFonts w:asciiTheme="minorHAnsi" w:hAnsiTheme="minorHAnsi" w:cstheme="minorHAnsi"/>
                <w:sz w:val="14"/>
                <w:szCs w:val="18"/>
              </w:rPr>
              <w:t xml:space="preserve"> itibari değerde 600.000.000 adet (A) grubu nama yazılı ve her biri 1 </w:t>
            </w:r>
            <w:proofErr w:type="spellStart"/>
            <w:r w:rsidRPr="0094573A">
              <w:rPr>
                <w:rFonts w:asciiTheme="minorHAnsi" w:hAnsiTheme="minorHAnsi" w:cstheme="minorHAnsi"/>
                <w:sz w:val="14"/>
                <w:szCs w:val="18"/>
              </w:rPr>
              <w:t>Kr</w:t>
            </w:r>
            <w:proofErr w:type="spellEnd"/>
            <w:r w:rsidRPr="0094573A">
              <w:rPr>
                <w:rFonts w:asciiTheme="minorHAnsi" w:hAnsiTheme="minorHAnsi" w:cstheme="minorHAnsi"/>
                <w:sz w:val="14"/>
                <w:szCs w:val="18"/>
              </w:rPr>
              <w:t xml:space="preserve"> itibari değerde 68.930.264.500 adet (B) grubu nama yazılı paydan meydana gelmiştir.</w:t>
            </w:r>
          </w:p>
          <w:p w14:paraId="0AA449B4" w14:textId="77777777" w:rsidR="0094573A" w:rsidRPr="0094573A" w:rsidRDefault="0094573A" w:rsidP="0056477A">
            <w:pPr>
              <w:jc w:val="both"/>
              <w:rPr>
                <w:rFonts w:asciiTheme="minorHAnsi" w:hAnsiTheme="minorHAnsi" w:cstheme="minorHAnsi"/>
                <w:sz w:val="14"/>
                <w:szCs w:val="18"/>
              </w:rPr>
            </w:pPr>
          </w:p>
          <w:p w14:paraId="5BAC29C6"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 xml:space="preserve">Çıkarılmış sermayenin tamamı, muvazaadan </w:t>
            </w:r>
            <w:proofErr w:type="spellStart"/>
            <w:r w:rsidRPr="0094573A">
              <w:rPr>
                <w:rFonts w:asciiTheme="minorHAnsi" w:hAnsiTheme="minorHAnsi" w:cstheme="minorHAnsi"/>
                <w:bCs/>
                <w:sz w:val="14"/>
                <w:szCs w:val="18"/>
              </w:rPr>
              <w:t>âri</w:t>
            </w:r>
            <w:proofErr w:type="spellEnd"/>
            <w:r w:rsidRPr="0094573A">
              <w:rPr>
                <w:rFonts w:asciiTheme="minorHAnsi" w:hAnsiTheme="minorHAnsi" w:cstheme="minorHAnsi"/>
                <w:bCs/>
                <w:sz w:val="14"/>
                <w:szCs w:val="18"/>
              </w:rPr>
              <w:t xml:space="preserve"> olarak tamamen ödenmiştir. Çıkarılan paylar tamamen satılarak bedelleri ödenmedikçe veya satılamayan paylar iptal edilmedikçe yeni pay çıkarılamaz.</w:t>
            </w:r>
          </w:p>
          <w:p w14:paraId="76CB7149" w14:textId="77777777" w:rsidR="0094573A" w:rsidRPr="0094573A" w:rsidRDefault="0094573A" w:rsidP="0056477A">
            <w:pPr>
              <w:pStyle w:val="Default"/>
              <w:jc w:val="both"/>
              <w:rPr>
                <w:rFonts w:asciiTheme="minorHAnsi" w:hAnsiTheme="minorHAnsi" w:cstheme="minorHAnsi"/>
                <w:sz w:val="14"/>
                <w:szCs w:val="18"/>
              </w:rPr>
            </w:pPr>
          </w:p>
          <w:p w14:paraId="75C5EDFC"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Sermaye Piyasası Kurulunca verilen kayıtlı sermaye tavanı izni, 2021-2025 yılları (5 yıl) için geçerlidir. 2025 yılı sonunda verilen kayıtlı sermaye tavanına ulaşılamamış olsa dahi, 2025 yılından sonra yönetim kurulunun sermaye artırım kararı alabilmesi için; daha önce izin verilen tavan ya da yeni bir tavan tutarı için Sermaye Piyasası Kurulu’ndan izin almak suretiyle genel kuruldan beş yılı geçmemek üzere yeni bir süre için yetki alması zorunludur. Söz konusu yetkinin alınmaması durumunda yönetim kurulu kararıyla sermaye artırımı yapılamaz.</w:t>
            </w:r>
          </w:p>
          <w:p w14:paraId="4547CF1D" w14:textId="77777777" w:rsidR="0094573A" w:rsidRPr="0094573A" w:rsidRDefault="0094573A" w:rsidP="0056477A">
            <w:pPr>
              <w:pStyle w:val="Default"/>
              <w:jc w:val="both"/>
              <w:rPr>
                <w:rFonts w:asciiTheme="minorHAnsi" w:hAnsiTheme="minorHAnsi" w:cstheme="minorHAnsi"/>
                <w:sz w:val="14"/>
                <w:szCs w:val="18"/>
              </w:rPr>
            </w:pPr>
          </w:p>
          <w:p w14:paraId="6EE15B08"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Sermaye artırımlarında (A) grubu nama yazılı pay ihraç edilmez. (A) grubu pay sahipleri sermaye artırımlarında sahip oldukları (A) grubu paylar karşılığında (B) grubu nama yazılı pay alırlar.</w:t>
            </w:r>
          </w:p>
          <w:p w14:paraId="566E3765" w14:textId="77777777" w:rsidR="0094573A" w:rsidRPr="0094573A" w:rsidRDefault="0094573A" w:rsidP="0056477A">
            <w:pPr>
              <w:pStyle w:val="Default"/>
              <w:jc w:val="both"/>
              <w:rPr>
                <w:rFonts w:asciiTheme="minorHAnsi" w:hAnsiTheme="minorHAnsi" w:cstheme="minorHAnsi"/>
                <w:sz w:val="14"/>
                <w:szCs w:val="18"/>
              </w:rPr>
            </w:pPr>
          </w:p>
          <w:p w14:paraId="5D4FF056" w14:textId="77777777" w:rsidR="0094573A" w:rsidRPr="0094573A" w:rsidRDefault="0094573A" w:rsidP="0056477A">
            <w:pPr>
              <w:pStyle w:val="Default"/>
              <w:jc w:val="both"/>
              <w:rPr>
                <w:rFonts w:asciiTheme="minorHAnsi" w:hAnsiTheme="minorHAnsi" w:cstheme="minorHAnsi"/>
                <w:bCs/>
                <w:color w:val="auto"/>
                <w:sz w:val="14"/>
                <w:szCs w:val="18"/>
              </w:rPr>
            </w:pPr>
            <w:r w:rsidRPr="0094573A">
              <w:rPr>
                <w:rFonts w:asciiTheme="minorHAnsi" w:hAnsiTheme="minorHAnsi" w:cstheme="minorHAnsi"/>
                <w:bCs/>
                <w:color w:val="auto"/>
                <w:sz w:val="14"/>
                <w:szCs w:val="18"/>
              </w:rPr>
              <w:t>Şirket Yönetim Kurulu 2021-2025 yılları arasında, Sermaye Piyasası Kanunu hükümlerine uygun olarak gerekli gördüğü zamanlarda kayıtlı sermaye tavanına kadar nama yazılı (B) grubu pay ihraç ederek çıkarılmış sermayeyi arttırmaya yetkilidir.</w:t>
            </w:r>
          </w:p>
          <w:p w14:paraId="5EC3FA7E" w14:textId="77777777" w:rsidR="0094573A" w:rsidRPr="0094573A" w:rsidRDefault="0094573A" w:rsidP="0056477A">
            <w:pPr>
              <w:pStyle w:val="Default"/>
              <w:jc w:val="both"/>
              <w:rPr>
                <w:rFonts w:asciiTheme="minorHAnsi" w:hAnsiTheme="minorHAnsi" w:cstheme="minorHAnsi"/>
                <w:sz w:val="14"/>
                <w:szCs w:val="18"/>
              </w:rPr>
            </w:pPr>
          </w:p>
          <w:p w14:paraId="1F6D9927" w14:textId="77777777" w:rsidR="0094573A" w:rsidRPr="0094573A" w:rsidRDefault="0094573A" w:rsidP="0056477A">
            <w:pPr>
              <w:pStyle w:val="Default"/>
              <w:jc w:val="both"/>
              <w:rPr>
                <w:rFonts w:asciiTheme="minorHAnsi" w:hAnsiTheme="minorHAnsi" w:cstheme="minorHAnsi"/>
                <w:bCs/>
                <w:color w:val="auto"/>
                <w:sz w:val="14"/>
                <w:szCs w:val="18"/>
              </w:rPr>
            </w:pPr>
            <w:r w:rsidRPr="0094573A">
              <w:rPr>
                <w:rFonts w:asciiTheme="minorHAnsi" w:hAnsiTheme="minorHAnsi" w:cstheme="minorHAnsi"/>
                <w:bCs/>
                <w:color w:val="auto"/>
                <w:sz w:val="14"/>
                <w:szCs w:val="18"/>
              </w:rPr>
              <w:t xml:space="preserve">Sermayeyi temsil eden paylar </w:t>
            </w:r>
            <w:proofErr w:type="spellStart"/>
            <w:r w:rsidRPr="0094573A">
              <w:rPr>
                <w:rFonts w:asciiTheme="minorHAnsi" w:hAnsiTheme="minorHAnsi" w:cstheme="minorHAnsi"/>
                <w:bCs/>
                <w:color w:val="auto"/>
                <w:sz w:val="14"/>
                <w:szCs w:val="18"/>
              </w:rPr>
              <w:t>kaydileştirme</w:t>
            </w:r>
            <w:proofErr w:type="spellEnd"/>
            <w:r w:rsidRPr="0094573A">
              <w:rPr>
                <w:rFonts w:asciiTheme="minorHAnsi" w:hAnsiTheme="minorHAnsi" w:cstheme="minorHAnsi"/>
                <w:bCs/>
                <w:color w:val="auto"/>
                <w:sz w:val="14"/>
                <w:szCs w:val="18"/>
              </w:rPr>
              <w:t xml:space="preserve"> esasları çerçevesinde </w:t>
            </w:r>
            <w:proofErr w:type="spellStart"/>
            <w:r w:rsidRPr="0094573A">
              <w:rPr>
                <w:rFonts w:asciiTheme="minorHAnsi" w:hAnsiTheme="minorHAnsi" w:cstheme="minorHAnsi"/>
                <w:bCs/>
                <w:color w:val="auto"/>
                <w:sz w:val="14"/>
                <w:szCs w:val="18"/>
              </w:rPr>
              <w:t>kayden</w:t>
            </w:r>
            <w:proofErr w:type="spellEnd"/>
            <w:r w:rsidRPr="0094573A">
              <w:rPr>
                <w:rFonts w:asciiTheme="minorHAnsi" w:hAnsiTheme="minorHAnsi" w:cstheme="minorHAnsi"/>
                <w:bCs/>
                <w:color w:val="auto"/>
                <w:sz w:val="14"/>
                <w:szCs w:val="18"/>
              </w:rPr>
              <w:t xml:space="preserve"> izlenir.</w:t>
            </w:r>
          </w:p>
          <w:p w14:paraId="4A993DCA" w14:textId="77777777" w:rsidR="0094573A" w:rsidRPr="0094573A" w:rsidRDefault="0094573A" w:rsidP="0056477A">
            <w:pPr>
              <w:pStyle w:val="Default"/>
              <w:jc w:val="both"/>
              <w:rPr>
                <w:rFonts w:asciiTheme="minorHAnsi" w:hAnsiTheme="minorHAnsi" w:cstheme="minorHAnsi"/>
                <w:bCs/>
                <w:color w:val="auto"/>
                <w:sz w:val="14"/>
                <w:szCs w:val="18"/>
              </w:rPr>
            </w:pPr>
          </w:p>
          <w:p w14:paraId="73E4594D" w14:textId="77777777" w:rsidR="0094573A" w:rsidRPr="0094573A" w:rsidRDefault="0094573A" w:rsidP="0056477A">
            <w:pPr>
              <w:pStyle w:val="Default"/>
              <w:jc w:val="both"/>
              <w:rPr>
                <w:rFonts w:asciiTheme="minorHAnsi" w:hAnsiTheme="minorHAnsi" w:cstheme="minorHAnsi"/>
                <w:bCs/>
                <w:color w:val="auto"/>
                <w:sz w:val="14"/>
                <w:szCs w:val="18"/>
              </w:rPr>
            </w:pPr>
            <w:r w:rsidRPr="0094573A">
              <w:rPr>
                <w:rFonts w:asciiTheme="minorHAnsi" w:hAnsiTheme="minorHAnsi" w:cstheme="minorHAnsi"/>
                <w:bCs/>
                <w:color w:val="auto"/>
                <w:sz w:val="14"/>
                <w:szCs w:val="18"/>
              </w:rPr>
              <w:t>Payların devri Türk Ticaret Kanunu’nun ilgili maddeleri, Bankacılık Düzenleme ve Denetleme Kurulu düzenlemeleri, Sermaye Piyasası Mevzuatı ve işbu esas sözleşme hükümlerinin saklı tutulması kaydı ile serbesttir.</w:t>
            </w:r>
          </w:p>
          <w:p w14:paraId="1A42E6E5" w14:textId="77777777" w:rsidR="0094573A" w:rsidRPr="0094573A" w:rsidRDefault="0094573A" w:rsidP="0056477A">
            <w:pPr>
              <w:pStyle w:val="Default"/>
              <w:jc w:val="both"/>
              <w:rPr>
                <w:rFonts w:asciiTheme="minorHAnsi" w:hAnsiTheme="minorHAnsi" w:cstheme="minorHAnsi"/>
                <w:bCs/>
                <w:color w:val="auto"/>
                <w:sz w:val="14"/>
                <w:szCs w:val="18"/>
              </w:rPr>
            </w:pPr>
          </w:p>
          <w:p w14:paraId="13A0A5DA" w14:textId="77777777" w:rsidR="0094573A" w:rsidRPr="0094573A" w:rsidRDefault="0094573A" w:rsidP="0056477A">
            <w:pPr>
              <w:pStyle w:val="Default"/>
              <w:jc w:val="both"/>
              <w:rPr>
                <w:rFonts w:asciiTheme="minorHAnsi" w:hAnsiTheme="minorHAnsi" w:cstheme="minorHAnsi"/>
                <w:bCs/>
                <w:sz w:val="14"/>
              </w:rPr>
            </w:pPr>
            <w:r w:rsidRPr="0094573A">
              <w:rPr>
                <w:rFonts w:asciiTheme="minorHAnsi" w:hAnsiTheme="minorHAnsi" w:cstheme="minorHAnsi"/>
                <w:bCs/>
                <w:color w:val="auto"/>
                <w:sz w:val="14"/>
                <w:szCs w:val="18"/>
              </w:rPr>
              <w:t>Şirket’in veya bağlı ortaklıklarının Türk Ticaret Kanunu ve Sermaye Piyasası Mevzuatı çerçevesinde Şirket paylarını satın veya rehin alması söz konusu olursa Sermaye Piyasası Mevzuatı ve ilgili mevzuata uygun olarak hareket edilir ve gerekli özel durum açıklamaları yapılır.</w:t>
            </w:r>
            <w:r w:rsidRPr="0094573A">
              <w:rPr>
                <w:rFonts w:asciiTheme="minorHAnsi" w:hAnsiTheme="minorHAnsi" w:cstheme="minorHAnsi"/>
                <w:sz w:val="14"/>
              </w:rPr>
              <w:t xml:space="preserve"> </w:t>
            </w:r>
          </w:p>
        </w:tc>
        <w:tc>
          <w:tcPr>
            <w:tcW w:w="4702" w:type="dxa"/>
          </w:tcPr>
          <w:p w14:paraId="03CA0244" w14:textId="7CA391C8" w:rsidR="007B250E" w:rsidRPr="007B250E" w:rsidRDefault="007B250E" w:rsidP="007B250E">
            <w:pPr>
              <w:jc w:val="both"/>
              <w:rPr>
                <w:rFonts w:asciiTheme="minorHAnsi" w:hAnsiTheme="minorHAnsi" w:cstheme="minorHAnsi"/>
                <w:b/>
                <w:bCs/>
                <w:sz w:val="14"/>
                <w:u w:val="single"/>
              </w:rPr>
            </w:pPr>
            <w:r>
              <w:rPr>
                <w:rFonts w:asciiTheme="minorHAnsi" w:hAnsiTheme="minorHAnsi" w:cstheme="minorHAnsi"/>
                <w:b/>
                <w:bCs/>
                <w:sz w:val="14"/>
                <w:u w:val="single"/>
              </w:rPr>
              <w:t xml:space="preserve">Yeni </w:t>
            </w:r>
            <w:r w:rsidRPr="007B250E">
              <w:rPr>
                <w:rFonts w:asciiTheme="minorHAnsi" w:hAnsiTheme="minorHAnsi" w:cstheme="minorHAnsi"/>
                <w:b/>
                <w:bCs/>
                <w:sz w:val="14"/>
                <w:u w:val="single"/>
              </w:rPr>
              <w:t>Hali</w:t>
            </w:r>
          </w:p>
          <w:p w14:paraId="3B2B362C" w14:textId="77777777" w:rsidR="007B250E" w:rsidRDefault="007B250E" w:rsidP="0056477A">
            <w:pPr>
              <w:jc w:val="both"/>
              <w:rPr>
                <w:rFonts w:asciiTheme="minorHAnsi" w:hAnsiTheme="minorHAnsi" w:cstheme="minorHAnsi"/>
                <w:b/>
                <w:bCs/>
                <w:sz w:val="14"/>
              </w:rPr>
            </w:pPr>
          </w:p>
          <w:p w14:paraId="15075AB0" w14:textId="44ACFB23" w:rsidR="0094573A" w:rsidRPr="0094573A" w:rsidRDefault="0094573A" w:rsidP="0056477A">
            <w:pPr>
              <w:jc w:val="both"/>
              <w:rPr>
                <w:rFonts w:asciiTheme="minorHAnsi" w:hAnsiTheme="minorHAnsi" w:cstheme="minorHAnsi"/>
                <w:b/>
                <w:bCs/>
                <w:sz w:val="14"/>
              </w:rPr>
            </w:pPr>
            <w:r w:rsidRPr="0094573A">
              <w:rPr>
                <w:rFonts w:asciiTheme="minorHAnsi" w:hAnsiTheme="minorHAnsi" w:cstheme="minorHAnsi"/>
                <w:b/>
                <w:bCs/>
                <w:sz w:val="14"/>
              </w:rPr>
              <w:t>Sermaye ve Payların Türü</w:t>
            </w:r>
          </w:p>
          <w:p w14:paraId="562ED825" w14:textId="77777777" w:rsidR="0094573A" w:rsidRPr="0094573A" w:rsidRDefault="0094573A" w:rsidP="0056477A">
            <w:pPr>
              <w:jc w:val="both"/>
              <w:rPr>
                <w:rFonts w:asciiTheme="minorHAnsi" w:hAnsiTheme="minorHAnsi" w:cstheme="minorHAnsi"/>
                <w:b/>
                <w:bCs/>
                <w:sz w:val="14"/>
                <w:szCs w:val="16"/>
              </w:rPr>
            </w:pPr>
          </w:p>
          <w:p w14:paraId="5E26E4D9" w14:textId="77777777" w:rsidR="0094573A" w:rsidRPr="0094573A" w:rsidRDefault="0094573A" w:rsidP="0056477A">
            <w:pPr>
              <w:jc w:val="both"/>
              <w:rPr>
                <w:rFonts w:asciiTheme="minorHAnsi" w:hAnsiTheme="minorHAnsi" w:cstheme="minorHAnsi"/>
                <w:b/>
                <w:bCs/>
                <w:sz w:val="14"/>
                <w:u w:val="single"/>
              </w:rPr>
            </w:pPr>
            <w:r w:rsidRPr="0094573A">
              <w:rPr>
                <w:rFonts w:asciiTheme="minorHAnsi" w:hAnsiTheme="minorHAnsi" w:cstheme="minorHAnsi"/>
                <w:b/>
                <w:bCs/>
                <w:sz w:val="14"/>
                <w:u w:val="single"/>
              </w:rPr>
              <w:t>Madde 6</w:t>
            </w:r>
          </w:p>
          <w:p w14:paraId="152637C5" w14:textId="77777777" w:rsidR="0094573A" w:rsidRPr="0094573A" w:rsidRDefault="0094573A" w:rsidP="0056477A">
            <w:pPr>
              <w:jc w:val="both"/>
              <w:rPr>
                <w:rFonts w:asciiTheme="minorHAnsi" w:hAnsiTheme="minorHAnsi" w:cstheme="minorHAnsi"/>
                <w:sz w:val="14"/>
                <w:szCs w:val="16"/>
              </w:rPr>
            </w:pPr>
          </w:p>
          <w:p w14:paraId="7636395C"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Şirket, Sermaye Piyasası Kanunu hükümlerine göre kayıtlı sermaye sistemini kabul etmiş ve Sermaye Piyasası Kurulu’nun 04.07.2000 tarih ve 73/1159 sayılı izni ile bu sisteme geçmiştir.</w:t>
            </w:r>
          </w:p>
          <w:p w14:paraId="1943727D" w14:textId="77777777" w:rsidR="0094573A" w:rsidRPr="0094573A" w:rsidRDefault="0094573A" w:rsidP="0056477A">
            <w:pPr>
              <w:jc w:val="both"/>
              <w:rPr>
                <w:rFonts w:asciiTheme="minorHAnsi" w:hAnsiTheme="minorHAnsi" w:cstheme="minorHAnsi"/>
                <w:bCs/>
                <w:sz w:val="14"/>
                <w:szCs w:val="18"/>
              </w:rPr>
            </w:pPr>
          </w:p>
          <w:p w14:paraId="4B8BE6D2" w14:textId="77777777" w:rsidR="0094573A" w:rsidRPr="0094573A" w:rsidRDefault="0094573A" w:rsidP="0056477A">
            <w:pPr>
              <w:jc w:val="both"/>
              <w:rPr>
                <w:rFonts w:asciiTheme="minorHAnsi" w:hAnsiTheme="minorHAnsi" w:cstheme="minorHAnsi"/>
                <w:sz w:val="14"/>
                <w:szCs w:val="18"/>
              </w:rPr>
            </w:pPr>
            <w:r w:rsidRPr="0094573A">
              <w:rPr>
                <w:rFonts w:asciiTheme="minorHAnsi" w:hAnsiTheme="minorHAnsi" w:cstheme="minorHAnsi"/>
                <w:sz w:val="14"/>
                <w:szCs w:val="18"/>
              </w:rPr>
              <w:t xml:space="preserve">Şirket’in kayıtlı sermaye tavanı </w:t>
            </w:r>
            <w:r w:rsidRPr="0094573A">
              <w:rPr>
                <w:rFonts w:asciiTheme="minorHAnsi" w:hAnsiTheme="minorHAnsi" w:cstheme="minorHAnsi"/>
                <w:b/>
                <w:color w:val="FF0000"/>
                <w:sz w:val="14"/>
                <w:szCs w:val="18"/>
              </w:rPr>
              <w:t>3.000.000.000</w:t>
            </w:r>
            <w:r w:rsidRPr="0094573A">
              <w:rPr>
                <w:rFonts w:asciiTheme="minorHAnsi" w:hAnsiTheme="minorHAnsi" w:cstheme="minorHAnsi"/>
                <w:color w:val="FF0000"/>
                <w:sz w:val="14"/>
                <w:szCs w:val="18"/>
              </w:rPr>
              <w:t>.-</w:t>
            </w:r>
            <w:r w:rsidRPr="0094573A">
              <w:rPr>
                <w:rFonts w:asciiTheme="minorHAnsi" w:hAnsiTheme="minorHAnsi" w:cstheme="minorHAnsi"/>
                <w:sz w:val="14"/>
                <w:szCs w:val="18"/>
              </w:rPr>
              <w:t xml:space="preserve"> TL olup, her biri 1 Kuruş (</w:t>
            </w:r>
            <w:proofErr w:type="spellStart"/>
            <w:r w:rsidRPr="0094573A">
              <w:rPr>
                <w:rFonts w:asciiTheme="minorHAnsi" w:hAnsiTheme="minorHAnsi" w:cstheme="minorHAnsi"/>
                <w:sz w:val="14"/>
                <w:szCs w:val="18"/>
              </w:rPr>
              <w:t>Kr</w:t>
            </w:r>
            <w:proofErr w:type="spellEnd"/>
            <w:r w:rsidRPr="0094573A">
              <w:rPr>
                <w:rFonts w:asciiTheme="minorHAnsi" w:hAnsiTheme="minorHAnsi" w:cstheme="minorHAnsi"/>
                <w:sz w:val="14"/>
                <w:szCs w:val="18"/>
              </w:rPr>
              <w:t xml:space="preserve">) itibari değerde </w:t>
            </w:r>
            <w:r w:rsidRPr="0094573A">
              <w:rPr>
                <w:rFonts w:asciiTheme="minorHAnsi" w:hAnsiTheme="minorHAnsi" w:cstheme="minorHAnsi"/>
                <w:b/>
                <w:color w:val="FF0000"/>
                <w:sz w:val="14"/>
                <w:szCs w:val="18"/>
              </w:rPr>
              <w:t>300.000.000.000</w:t>
            </w:r>
            <w:r w:rsidRPr="0094573A">
              <w:rPr>
                <w:rFonts w:asciiTheme="minorHAnsi" w:hAnsiTheme="minorHAnsi" w:cstheme="minorHAnsi"/>
                <w:sz w:val="14"/>
                <w:szCs w:val="18"/>
              </w:rPr>
              <w:t xml:space="preserve"> adet paya bölünmüştür.</w:t>
            </w:r>
          </w:p>
          <w:p w14:paraId="5122F615" w14:textId="77777777" w:rsidR="0094573A" w:rsidRPr="0094573A" w:rsidRDefault="0094573A" w:rsidP="0056477A">
            <w:pPr>
              <w:jc w:val="both"/>
              <w:rPr>
                <w:rFonts w:asciiTheme="minorHAnsi" w:hAnsiTheme="minorHAnsi" w:cstheme="minorHAnsi"/>
                <w:sz w:val="14"/>
                <w:szCs w:val="18"/>
              </w:rPr>
            </w:pPr>
          </w:p>
          <w:p w14:paraId="45475DC5" w14:textId="77777777" w:rsidR="0094573A" w:rsidRPr="0094573A" w:rsidRDefault="0094573A" w:rsidP="0056477A">
            <w:pPr>
              <w:jc w:val="both"/>
              <w:rPr>
                <w:rFonts w:asciiTheme="minorHAnsi" w:hAnsiTheme="minorHAnsi" w:cstheme="minorHAnsi"/>
                <w:sz w:val="14"/>
                <w:szCs w:val="18"/>
              </w:rPr>
            </w:pPr>
            <w:r w:rsidRPr="0094573A">
              <w:rPr>
                <w:rFonts w:asciiTheme="minorHAnsi" w:hAnsiTheme="minorHAnsi" w:cstheme="minorHAnsi"/>
                <w:sz w:val="14"/>
                <w:szCs w:val="18"/>
              </w:rPr>
              <w:t xml:space="preserve">Şirket’in çıkarılmış sermayesi 695.302.645.-TL olup, bu sermaye her biri 1 </w:t>
            </w:r>
            <w:proofErr w:type="spellStart"/>
            <w:r w:rsidRPr="0094573A">
              <w:rPr>
                <w:rFonts w:asciiTheme="minorHAnsi" w:hAnsiTheme="minorHAnsi" w:cstheme="minorHAnsi"/>
                <w:sz w:val="14"/>
                <w:szCs w:val="18"/>
              </w:rPr>
              <w:t>Kr</w:t>
            </w:r>
            <w:proofErr w:type="spellEnd"/>
            <w:r w:rsidRPr="0094573A">
              <w:rPr>
                <w:rFonts w:asciiTheme="minorHAnsi" w:hAnsiTheme="minorHAnsi" w:cstheme="minorHAnsi"/>
                <w:sz w:val="14"/>
                <w:szCs w:val="18"/>
              </w:rPr>
              <w:t xml:space="preserve"> itibari değerde 600.000.000 adet (A) grubu nama yazılı ve her biri 1 </w:t>
            </w:r>
            <w:proofErr w:type="spellStart"/>
            <w:r w:rsidRPr="0094573A">
              <w:rPr>
                <w:rFonts w:asciiTheme="minorHAnsi" w:hAnsiTheme="minorHAnsi" w:cstheme="minorHAnsi"/>
                <w:sz w:val="14"/>
                <w:szCs w:val="18"/>
              </w:rPr>
              <w:t>Kr</w:t>
            </w:r>
            <w:proofErr w:type="spellEnd"/>
            <w:r w:rsidRPr="0094573A">
              <w:rPr>
                <w:rFonts w:asciiTheme="minorHAnsi" w:hAnsiTheme="minorHAnsi" w:cstheme="minorHAnsi"/>
                <w:sz w:val="14"/>
                <w:szCs w:val="18"/>
              </w:rPr>
              <w:t xml:space="preserve"> itibari değerde 68.930.264.500 adet (B) grubu nama yazılı paydan meydana gelmiştir.</w:t>
            </w:r>
          </w:p>
          <w:p w14:paraId="5DE515BF" w14:textId="77777777" w:rsidR="0094573A" w:rsidRPr="0094573A" w:rsidRDefault="0094573A" w:rsidP="0056477A">
            <w:pPr>
              <w:jc w:val="both"/>
              <w:rPr>
                <w:rFonts w:asciiTheme="minorHAnsi" w:hAnsiTheme="minorHAnsi" w:cstheme="minorHAnsi"/>
                <w:sz w:val="14"/>
                <w:szCs w:val="18"/>
              </w:rPr>
            </w:pPr>
          </w:p>
          <w:p w14:paraId="38802FA8"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 xml:space="preserve">Çıkarılmış sermayenin tamamı, muvazaadan </w:t>
            </w:r>
            <w:proofErr w:type="spellStart"/>
            <w:r w:rsidRPr="0094573A">
              <w:rPr>
                <w:rFonts w:asciiTheme="minorHAnsi" w:hAnsiTheme="minorHAnsi" w:cstheme="minorHAnsi"/>
                <w:bCs/>
                <w:sz w:val="14"/>
                <w:szCs w:val="18"/>
              </w:rPr>
              <w:t>âri</w:t>
            </w:r>
            <w:proofErr w:type="spellEnd"/>
            <w:r w:rsidRPr="0094573A">
              <w:rPr>
                <w:rFonts w:asciiTheme="minorHAnsi" w:hAnsiTheme="minorHAnsi" w:cstheme="minorHAnsi"/>
                <w:bCs/>
                <w:sz w:val="14"/>
                <w:szCs w:val="18"/>
              </w:rPr>
              <w:t xml:space="preserve"> olarak tamamen ödenmiştir. Çıkarılan paylar tamamen satılarak bedelleri ödenmedikçe veya satılamayan paylar iptal edilmedikçe</w:t>
            </w:r>
            <w:r w:rsidRPr="0094573A">
              <w:rPr>
                <w:rFonts w:asciiTheme="minorHAnsi" w:hAnsiTheme="minorHAnsi" w:cstheme="minorHAnsi"/>
                <w:bCs/>
                <w:sz w:val="14"/>
                <w:szCs w:val="18"/>
                <w:lang w:val="en-GB"/>
              </w:rPr>
              <w:t xml:space="preserve"> </w:t>
            </w:r>
            <w:r w:rsidRPr="0094573A">
              <w:rPr>
                <w:rFonts w:asciiTheme="minorHAnsi" w:hAnsiTheme="minorHAnsi" w:cstheme="minorHAnsi"/>
                <w:bCs/>
                <w:sz w:val="14"/>
                <w:szCs w:val="18"/>
              </w:rPr>
              <w:t>yeni pay çıkarılamaz.</w:t>
            </w:r>
          </w:p>
          <w:p w14:paraId="28B10FC2" w14:textId="77777777" w:rsidR="0094573A" w:rsidRPr="0094573A" w:rsidRDefault="0094573A" w:rsidP="0056477A">
            <w:pPr>
              <w:jc w:val="both"/>
              <w:rPr>
                <w:rFonts w:asciiTheme="minorHAnsi" w:hAnsiTheme="minorHAnsi" w:cstheme="minorHAnsi"/>
                <w:bCs/>
                <w:sz w:val="14"/>
                <w:szCs w:val="18"/>
              </w:rPr>
            </w:pPr>
          </w:p>
          <w:p w14:paraId="2BB64325"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 xml:space="preserve">Sermaye Piyasası Kurulunca verilen kayıtlı sermaye tavanı izni, </w:t>
            </w:r>
            <w:r w:rsidRPr="0094573A">
              <w:rPr>
                <w:rFonts w:asciiTheme="minorHAnsi" w:hAnsiTheme="minorHAnsi" w:cstheme="minorHAnsi"/>
                <w:b/>
                <w:bCs/>
                <w:color w:val="FF0000"/>
                <w:sz w:val="14"/>
                <w:szCs w:val="18"/>
              </w:rPr>
              <w:t>2026-2030</w:t>
            </w:r>
            <w:r w:rsidRPr="0094573A">
              <w:rPr>
                <w:rFonts w:asciiTheme="minorHAnsi" w:hAnsiTheme="minorHAnsi" w:cstheme="minorHAnsi"/>
                <w:bCs/>
                <w:color w:val="FF0000"/>
                <w:sz w:val="14"/>
                <w:szCs w:val="18"/>
              </w:rPr>
              <w:t xml:space="preserve"> </w:t>
            </w:r>
            <w:r w:rsidRPr="0094573A">
              <w:rPr>
                <w:rFonts w:asciiTheme="minorHAnsi" w:hAnsiTheme="minorHAnsi" w:cstheme="minorHAnsi"/>
                <w:bCs/>
                <w:sz w:val="14"/>
                <w:szCs w:val="18"/>
              </w:rPr>
              <w:t xml:space="preserve">yılları (5 yıl) için geçerlidir. </w:t>
            </w:r>
            <w:r w:rsidRPr="0094573A">
              <w:rPr>
                <w:rFonts w:asciiTheme="minorHAnsi" w:hAnsiTheme="minorHAnsi" w:cstheme="minorHAnsi"/>
                <w:b/>
                <w:bCs/>
                <w:color w:val="FF0000"/>
                <w:sz w:val="14"/>
                <w:szCs w:val="18"/>
              </w:rPr>
              <w:t>2030</w:t>
            </w:r>
            <w:r w:rsidRPr="0094573A">
              <w:rPr>
                <w:rFonts w:asciiTheme="minorHAnsi" w:hAnsiTheme="minorHAnsi" w:cstheme="minorHAnsi"/>
                <w:b/>
                <w:bCs/>
                <w:sz w:val="14"/>
                <w:szCs w:val="18"/>
              </w:rPr>
              <w:t xml:space="preserve"> </w:t>
            </w:r>
            <w:r w:rsidRPr="0094573A">
              <w:rPr>
                <w:rFonts w:asciiTheme="minorHAnsi" w:hAnsiTheme="minorHAnsi" w:cstheme="minorHAnsi"/>
                <w:bCs/>
                <w:sz w:val="14"/>
                <w:szCs w:val="18"/>
              </w:rPr>
              <w:t xml:space="preserve">yılı sonunda verilen kayıtlı sermaye tavanına ulaşılamamış olsa dahi, </w:t>
            </w:r>
            <w:r w:rsidRPr="0094573A">
              <w:rPr>
                <w:rFonts w:asciiTheme="minorHAnsi" w:hAnsiTheme="minorHAnsi" w:cstheme="minorHAnsi"/>
                <w:b/>
                <w:bCs/>
                <w:color w:val="FF0000"/>
                <w:sz w:val="14"/>
                <w:szCs w:val="18"/>
              </w:rPr>
              <w:t>2030</w:t>
            </w:r>
            <w:r w:rsidRPr="0094573A">
              <w:rPr>
                <w:rFonts w:asciiTheme="minorHAnsi" w:hAnsiTheme="minorHAnsi" w:cstheme="minorHAnsi"/>
                <w:bCs/>
                <w:sz w:val="14"/>
                <w:szCs w:val="18"/>
              </w:rPr>
              <w:t xml:space="preserve"> yılından sonra yönetim kurulunun sermaye artırım kararı alabilmesi için; daha önce izin verilen tavan ya da yeni bir tavan tutarı için Sermaye Piyasası Kurulu’ndan izin almak suretiyle genel kuruldan beş yılı geçmemek üzere yeni bir süre için yetki alması zorunludur. Söz konusu yetkinin alınmaması durumunda yönetim kurulu kararıyla sermaye artırımı yapılamaz.</w:t>
            </w:r>
          </w:p>
          <w:p w14:paraId="0A3AA8BA" w14:textId="77777777" w:rsidR="0094573A" w:rsidRPr="0094573A" w:rsidRDefault="0094573A" w:rsidP="0056477A">
            <w:pPr>
              <w:jc w:val="both"/>
              <w:rPr>
                <w:rFonts w:asciiTheme="minorHAnsi" w:hAnsiTheme="minorHAnsi" w:cstheme="minorHAnsi"/>
                <w:bCs/>
                <w:sz w:val="14"/>
                <w:szCs w:val="18"/>
              </w:rPr>
            </w:pPr>
          </w:p>
          <w:p w14:paraId="0767A996"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 xml:space="preserve">Sermaye artırımlarında (A) grubu nama yazılı pay ihraç edilmez. (A) grubu pay sahipleri sermaye artırımlarında sahip oldukları (A) grubu paylar karşılığında (B) grubu nama yazılı pay alırlar. </w:t>
            </w:r>
          </w:p>
          <w:p w14:paraId="2EE193F2" w14:textId="77777777" w:rsidR="0094573A" w:rsidRPr="0094573A" w:rsidRDefault="0094573A" w:rsidP="0056477A">
            <w:pPr>
              <w:jc w:val="both"/>
              <w:rPr>
                <w:rFonts w:asciiTheme="minorHAnsi" w:hAnsiTheme="minorHAnsi" w:cstheme="minorHAnsi"/>
                <w:bCs/>
                <w:sz w:val="14"/>
                <w:szCs w:val="18"/>
              </w:rPr>
            </w:pPr>
          </w:p>
          <w:p w14:paraId="1EF56416"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 xml:space="preserve">Şirket Yönetim Kurulu </w:t>
            </w:r>
            <w:r w:rsidRPr="0094573A">
              <w:rPr>
                <w:rFonts w:asciiTheme="minorHAnsi" w:hAnsiTheme="minorHAnsi" w:cstheme="minorHAnsi"/>
                <w:b/>
                <w:bCs/>
                <w:color w:val="FF0000"/>
                <w:sz w:val="14"/>
                <w:szCs w:val="18"/>
              </w:rPr>
              <w:t>2026-2030</w:t>
            </w:r>
            <w:r w:rsidRPr="0094573A">
              <w:rPr>
                <w:rFonts w:asciiTheme="minorHAnsi" w:hAnsiTheme="minorHAnsi" w:cstheme="minorHAnsi"/>
                <w:bCs/>
                <w:sz w:val="14"/>
                <w:szCs w:val="18"/>
              </w:rPr>
              <w:t xml:space="preserve"> yılları arasında, Sermaye Piyasası Kanunu hükümlerine uygun olarak gerekli gördüğü zamanlarda kayıtlı sermaye tavanına kadar nama yazılı (B) grubu pay ihraç ederek çıkarılmış sermayeyi arttırmaya yetkilidir. </w:t>
            </w:r>
          </w:p>
          <w:p w14:paraId="470D6A2C" w14:textId="77777777" w:rsidR="0094573A" w:rsidRPr="0094573A" w:rsidRDefault="0094573A" w:rsidP="0056477A">
            <w:pPr>
              <w:jc w:val="both"/>
              <w:rPr>
                <w:rFonts w:asciiTheme="minorHAnsi" w:hAnsiTheme="minorHAnsi" w:cstheme="minorHAnsi"/>
                <w:sz w:val="14"/>
                <w:szCs w:val="18"/>
              </w:rPr>
            </w:pPr>
          </w:p>
          <w:p w14:paraId="68AEED14" w14:textId="77777777" w:rsidR="0094573A" w:rsidRPr="0094573A" w:rsidRDefault="0094573A" w:rsidP="0056477A">
            <w:pPr>
              <w:jc w:val="both"/>
              <w:rPr>
                <w:rFonts w:asciiTheme="minorHAnsi" w:hAnsiTheme="minorHAnsi" w:cstheme="minorHAnsi"/>
                <w:sz w:val="14"/>
                <w:szCs w:val="18"/>
              </w:rPr>
            </w:pPr>
            <w:r w:rsidRPr="0094573A">
              <w:rPr>
                <w:rFonts w:asciiTheme="minorHAnsi" w:hAnsiTheme="minorHAnsi" w:cstheme="minorHAnsi"/>
                <w:sz w:val="14"/>
                <w:szCs w:val="18"/>
              </w:rPr>
              <w:t xml:space="preserve">Sermayeyi temsil eden paylar </w:t>
            </w:r>
            <w:proofErr w:type="spellStart"/>
            <w:r w:rsidRPr="0094573A">
              <w:rPr>
                <w:rFonts w:asciiTheme="minorHAnsi" w:hAnsiTheme="minorHAnsi" w:cstheme="minorHAnsi"/>
                <w:sz w:val="14"/>
                <w:szCs w:val="18"/>
              </w:rPr>
              <w:t>kaydileştirme</w:t>
            </w:r>
            <w:proofErr w:type="spellEnd"/>
            <w:r w:rsidRPr="0094573A">
              <w:rPr>
                <w:rFonts w:asciiTheme="minorHAnsi" w:hAnsiTheme="minorHAnsi" w:cstheme="minorHAnsi"/>
                <w:sz w:val="14"/>
                <w:szCs w:val="18"/>
              </w:rPr>
              <w:t xml:space="preserve"> esasları çerçevesinde </w:t>
            </w:r>
            <w:proofErr w:type="spellStart"/>
            <w:r w:rsidRPr="0094573A">
              <w:rPr>
                <w:rFonts w:asciiTheme="minorHAnsi" w:hAnsiTheme="minorHAnsi" w:cstheme="minorHAnsi"/>
                <w:sz w:val="14"/>
                <w:szCs w:val="18"/>
              </w:rPr>
              <w:t>kayden</w:t>
            </w:r>
            <w:proofErr w:type="spellEnd"/>
            <w:r w:rsidRPr="0094573A">
              <w:rPr>
                <w:rFonts w:asciiTheme="minorHAnsi" w:hAnsiTheme="minorHAnsi" w:cstheme="minorHAnsi"/>
                <w:sz w:val="14"/>
                <w:szCs w:val="18"/>
              </w:rPr>
              <w:t xml:space="preserve"> izlenir.</w:t>
            </w:r>
          </w:p>
          <w:p w14:paraId="19CA02F7" w14:textId="77777777" w:rsidR="0094573A" w:rsidRPr="0094573A" w:rsidRDefault="0094573A" w:rsidP="0056477A">
            <w:pPr>
              <w:jc w:val="both"/>
              <w:rPr>
                <w:rFonts w:asciiTheme="minorHAnsi" w:hAnsiTheme="minorHAnsi" w:cstheme="minorHAnsi"/>
                <w:sz w:val="14"/>
                <w:szCs w:val="18"/>
              </w:rPr>
            </w:pPr>
          </w:p>
          <w:p w14:paraId="75E08A61" w14:textId="77777777" w:rsidR="0094573A" w:rsidRPr="0094573A" w:rsidRDefault="0094573A" w:rsidP="0056477A">
            <w:pPr>
              <w:jc w:val="both"/>
              <w:rPr>
                <w:rFonts w:asciiTheme="minorHAnsi" w:hAnsiTheme="minorHAnsi" w:cstheme="minorHAnsi"/>
                <w:iCs/>
                <w:sz w:val="14"/>
                <w:szCs w:val="18"/>
              </w:rPr>
            </w:pPr>
            <w:r w:rsidRPr="0094573A">
              <w:rPr>
                <w:rFonts w:asciiTheme="minorHAnsi" w:hAnsiTheme="minorHAnsi" w:cstheme="minorHAnsi"/>
                <w:iCs/>
                <w:sz w:val="14"/>
                <w:szCs w:val="18"/>
              </w:rPr>
              <w:t>Payların devri Türk Ticaret Kanunu’nun ilgili maddeleri, Bankacılık Düzenleme ve Denetleme Kurulu düzenlemeleri, Sermaye Piyasası Mevzuatı ve işbu esas sözleşme hükümlerinin saklı tutulması kaydı ile serbesttir.</w:t>
            </w:r>
          </w:p>
          <w:p w14:paraId="4229A479" w14:textId="77777777" w:rsidR="0094573A" w:rsidRPr="0094573A" w:rsidRDefault="0094573A" w:rsidP="0056477A">
            <w:pPr>
              <w:jc w:val="both"/>
              <w:rPr>
                <w:rFonts w:asciiTheme="minorHAnsi" w:hAnsiTheme="minorHAnsi" w:cstheme="minorHAnsi"/>
                <w:sz w:val="14"/>
                <w:szCs w:val="18"/>
              </w:rPr>
            </w:pPr>
          </w:p>
          <w:p w14:paraId="52978BE6" w14:textId="77777777" w:rsidR="0094573A" w:rsidRPr="0094573A" w:rsidRDefault="0094573A" w:rsidP="0056477A">
            <w:pPr>
              <w:jc w:val="both"/>
              <w:rPr>
                <w:rFonts w:asciiTheme="minorHAnsi" w:hAnsiTheme="minorHAnsi" w:cstheme="minorHAnsi"/>
                <w:bCs/>
                <w:sz w:val="14"/>
                <w:szCs w:val="18"/>
              </w:rPr>
            </w:pPr>
            <w:r w:rsidRPr="0094573A">
              <w:rPr>
                <w:rFonts w:asciiTheme="minorHAnsi" w:hAnsiTheme="minorHAnsi" w:cstheme="minorHAnsi"/>
                <w:bCs/>
                <w:sz w:val="14"/>
                <w:szCs w:val="18"/>
              </w:rPr>
              <w:t>Şirket’in veya bağlı ortaklıklarının Türk Ticaret Kanunu ve Sermaye Piyasası Mevzuatı çerçevesinde Şirket paylarını satın veya rehin alması söz konusu olursa Sermaye Piyasası Mevzuatı ve ilgili mevzuata uygun olarak hareket edilir ve gerekli özel durum açıklamaları yapılır.</w:t>
            </w:r>
          </w:p>
          <w:p w14:paraId="1ADEDD82" w14:textId="77777777" w:rsidR="0094573A" w:rsidRPr="0094573A" w:rsidRDefault="0094573A" w:rsidP="0056477A">
            <w:pPr>
              <w:pStyle w:val="GvdeMetni3"/>
              <w:spacing w:after="0"/>
              <w:jc w:val="both"/>
              <w:rPr>
                <w:rFonts w:asciiTheme="minorHAnsi" w:hAnsiTheme="minorHAnsi" w:cstheme="minorHAnsi"/>
                <w:iCs/>
                <w:sz w:val="14"/>
                <w:szCs w:val="20"/>
              </w:rPr>
            </w:pPr>
          </w:p>
        </w:tc>
      </w:tr>
      <w:bookmarkEnd w:id="3"/>
    </w:tbl>
    <w:p w14:paraId="4DD9CB18" w14:textId="37513B26" w:rsidR="009D6AC4" w:rsidRDefault="009D6AC4" w:rsidP="003A2F4A">
      <w:pPr>
        <w:pStyle w:val="ListeParagraf"/>
        <w:ind w:left="567" w:right="708"/>
        <w:jc w:val="both"/>
        <w:rPr>
          <w:rFonts w:asciiTheme="minorHAnsi" w:hAnsiTheme="minorHAnsi" w:cstheme="minorHAnsi"/>
          <w:b/>
          <w:sz w:val="23"/>
          <w:szCs w:val="23"/>
        </w:rPr>
      </w:pPr>
    </w:p>
    <w:p w14:paraId="07C56CD7" w14:textId="6501E4FD" w:rsidR="00431CDC" w:rsidRPr="00E66F82" w:rsidRDefault="00431CDC" w:rsidP="00E54F74">
      <w:pPr>
        <w:pStyle w:val="ListeParagraf"/>
        <w:numPr>
          <w:ilvl w:val="0"/>
          <w:numId w:val="2"/>
        </w:numPr>
        <w:ind w:left="567" w:right="708" w:hanging="567"/>
        <w:jc w:val="both"/>
        <w:rPr>
          <w:rFonts w:asciiTheme="minorHAnsi" w:hAnsiTheme="minorHAnsi" w:cstheme="minorHAnsi"/>
          <w:b/>
          <w:sz w:val="23"/>
          <w:szCs w:val="23"/>
        </w:rPr>
      </w:pPr>
      <w:r w:rsidRPr="00E66F82">
        <w:rPr>
          <w:rFonts w:asciiTheme="minorHAnsi" w:hAnsiTheme="minorHAnsi" w:cstheme="minorHAnsi"/>
          <w:b/>
          <w:sz w:val="23"/>
          <w:szCs w:val="23"/>
        </w:rPr>
        <w:t>20</w:t>
      </w:r>
      <w:r w:rsidR="00D27DB4" w:rsidRPr="00E66F82">
        <w:rPr>
          <w:rFonts w:asciiTheme="minorHAnsi" w:hAnsiTheme="minorHAnsi" w:cstheme="minorHAnsi"/>
          <w:b/>
          <w:sz w:val="23"/>
          <w:szCs w:val="23"/>
        </w:rPr>
        <w:t>2</w:t>
      </w:r>
      <w:r w:rsidR="003A2F4A">
        <w:rPr>
          <w:rFonts w:asciiTheme="minorHAnsi" w:hAnsiTheme="minorHAnsi" w:cstheme="minorHAnsi"/>
          <w:b/>
          <w:sz w:val="23"/>
          <w:szCs w:val="23"/>
        </w:rPr>
        <w:t>5</w:t>
      </w:r>
      <w:r w:rsidRPr="00E66F82">
        <w:rPr>
          <w:rFonts w:asciiTheme="minorHAnsi" w:hAnsiTheme="minorHAnsi" w:cstheme="minorHAnsi"/>
          <w:b/>
          <w:sz w:val="23"/>
          <w:szCs w:val="23"/>
        </w:rPr>
        <w:t xml:space="preserve"> yılı bağışlarının Genel Kurul</w:t>
      </w:r>
      <w:r w:rsidR="00247DA0">
        <w:rPr>
          <w:rFonts w:asciiTheme="minorHAnsi" w:hAnsiTheme="minorHAnsi" w:cstheme="minorHAnsi"/>
          <w:b/>
          <w:sz w:val="23"/>
          <w:szCs w:val="23"/>
        </w:rPr>
        <w:t>’</w:t>
      </w:r>
      <w:r w:rsidRPr="00E66F82">
        <w:rPr>
          <w:rFonts w:asciiTheme="minorHAnsi" w:hAnsiTheme="minorHAnsi" w:cstheme="minorHAnsi"/>
          <w:b/>
          <w:sz w:val="23"/>
          <w:szCs w:val="23"/>
        </w:rPr>
        <w:t>un bilgisine sunulması</w:t>
      </w:r>
    </w:p>
    <w:p w14:paraId="3BED263C" w14:textId="77777777" w:rsidR="00431CDC" w:rsidRPr="00E66F82" w:rsidRDefault="00431CDC" w:rsidP="00581EBE">
      <w:pPr>
        <w:pStyle w:val="ListeParagraf"/>
        <w:ind w:left="567"/>
        <w:jc w:val="both"/>
        <w:rPr>
          <w:rFonts w:asciiTheme="minorHAnsi" w:hAnsiTheme="minorHAnsi" w:cs="Tahoma"/>
          <w:b/>
          <w:sz w:val="10"/>
          <w:szCs w:val="10"/>
        </w:rPr>
      </w:pPr>
    </w:p>
    <w:p w14:paraId="48978A59" w14:textId="0A178D6A" w:rsidR="005B7BCD" w:rsidRPr="00E66F82" w:rsidRDefault="00431CDC" w:rsidP="00581EBE">
      <w:pPr>
        <w:pStyle w:val="ListeParagraf"/>
        <w:ind w:left="567"/>
        <w:jc w:val="both"/>
        <w:rPr>
          <w:rFonts w:asciiTheme="minorHAnsi" w:hAnsiTheme="minorHAnsi"/>
          <w:sz w:val="23"/>
          <w:szCs w:val="23"/>
        </w:rPr>
      </w:pPr>
      <w:r w:rsidRPr="00E66F82">
        <w:rPr>
          <w:rFonts w:asciiTheme="minorHAnsi" w:hAnsiTheme="minorHAnsi" w:cs="Tahoma"/>
          <w:sz w:val="23"/>
          <w:szCs w:val="23"/>
        </w:rPr>
        <w:t>Sermaye Piyasası Mevzuatı uyarınca yıl içinde yapılan bağışların Genel Kurul</w:t>
      </w:r>
      <w:r w:rsidR="00265270" w:rsidRPr="00E66F82">
        <w:rPr>
          <w:rFonts w:asciiTheme="minorHAnsi" w:hAnsiTheme="minorHAnsi" w:cs="Tahoma"/>
          <w:sz w:val="23"/>
          <w:szCs w:val="23"/>
        </w:rPr>
        <w:t>’</w:t>
      </w:r>
      <w:r w:rsidRPr="00E66F82">
        <w:rPr>
          <w:rFonts w:asciiTheme="minorHAnsi" w:hAnsiTheme="minorHAnsi" w:cs="Tahoma"/>
          <w:sz w:val="23"/>
          <w:szCs w:val="23"/>
        </w:rPr>
        <w:t>un bilgisine sunulması gerekmektedir. Söz konusu gündem maddesi Genel Kurul</w:t>
      </w:r>
      <w:r w:rsidR="00265270" w:rsidRPr="00E66F82">
        <w:rPr>
          <w:rFonts w:asciiTheme="minorHAnsi" w:hAnsiTheme="minorHAnsi" w:cs="Tahoma"/>
          <w:sz w:val="23"/>
          <w:szCs w:val="23"/>
        </w:rPr>
        <w:t>’</w:t>
      </w:r>
      <w:r w:rsidRPr="00E66F82">
        <w:rPr>
          <w:rFonts w:asciiTheme="minorHAnsi" w:hAnsiTheme="minorHAnsi" w:cs="Tahoma"/>
          <w:sz w:val="23"/>
          <w:szCs w:val="23"/>
        </w:rPr>
        <w:t xml:space="preserve">un onayına ilişkin olmayıp, sadece bilgilendirme amacını taşımaktadır. Şirketimiz </w:t>
      </w:r>
      <w:r w:rsidR="003936CE" w:rsidRPr="00E66F82">
        <w:rPr>
          <w:rFonts w:asciiTheme="minorHAnsi" w:hAnsiTheme="minorHAnsi" w:cs="Tahoma"/>
          <w:sz w:val="23"/>
          <w:szCs w:val="23"/>
        </w:rPr>
        <w:t xml:space="preserve">tarafından </w:t>
      </w:r>
      <w:r w:rsidRPr="00E66F82">
        <w:rPr>
          <w:rFonts w:asciiTheme="minorHAnsi" w:hAnsiTheme="minorHAnsi" w:cs="Tahoma"/>
          <w:sz w:val="23"/>
          <w:szCs w:val="23"/>
        </w:rPr>
        <w:t>20</w:t>
      </w:r>
      <w:r w:rsidR="00D27DB4" w:rsidRPr="00E66F82">
        <w:rPr>
          <w:rFonts w:asciiTheme="minorHAnsi" w:hAnsiTheme="minorHAnsi" w:cs="Tahoma"/>
          <w:sz w:val="23"/>
          <w:szCs w:val="23"/>
        </w:rPr>
        <w:t>2</w:t>
      </w:r>
      <w:r w:rsidR="003A2F4A">
        <w:rPr>
          <w:rFonts w:asciiTheme="minorHAnsi" w:hAnsiTheme="minorHAnsi" w:cs="Tahoma"/>
          <w:sz w:val="23"/>
          <w:szCs w:val="23"/>
        </w:rPr>
        <w:t>5</w:t>
      </w:r>
      <w:r w:rsidRPr="00E66F82">
        <w:rPr>
          <w:rFonts w:asciiTheme="minorHAnsi" w:hAnsiTheme="minorHAnsi" w:cs="Tahoma"/>
          <w:sz w:val="23"/>
          <w:szCs w:val="23"/>
        </w:rPr>
        <w:t xml:space="preserve"> yılında toplam </w:t>
      </w:r>
      <w:bookmarkStart w:id="4" w:name="_Hlk223093700"/>
      <w:r w:rsidR="003A2F4A" w:rsidRPr="003A2F4A">
        <w:rPr>
          <w:rFonts w:asciiTheme="minorHAnsi" w:hAnsiTheme="minorHAnsi" w:cs="Tahoma"/>
          <w:sz w:val="23"/>
          <w:szCs w:val="23"/>
        </w:rPr>
        <w:t>694.860</w:t>
      </w:r>
      <w:r w:rsidR="00FC3832" w:rsidRPr="00E66F82">
        <w:rPr>
          <w:rFonts w:asciiTheme="minorHAnsi" w:hAnsiTheme="minorHAnsi" w:cs="Tahoma"/>
          <w:sz w:val="23"/>
          <w:szCs w:val="23"/>
        </w:rPr>
        <w:t xml:space="preserve"> </w:t>
      </w:r>
      <w:bookmarkEnd w:id="4"/>
      <w:r w:rsidRPr="00E66F82">
        <w:rPr>
          <w:rFonts w:asciiTheme="minorHAnsi" w:hAnsiTheme="minorHAnsi" w:cs="Tahoma"/>
          <w:sz w:val="23"/>
          <w:szCs w:val="23"/>
        </w:rPr>
        <w:t>TL bağış yapılmıştır</w:t>
      </w:r>
      <w:r w:rsidRPr="00E66F82">
        <w:rPr>
          <w:rFonts w:asciiTheme="minorHAnsi" w:hAnsiTheme="minorHAnsi"/>
          <w:sz w:val="23"/>
          <w:szCs w:val="23"/>
        </w:rPr>
        <w:t xml:space="preserve">. </w:t>
      </w:r>
    </w:p>
    <w:p w14:paraId="29792FD5" w14:textId="2D53844D" w:rsidR="00AE0FB6" w:rsidRPr="00E66F82" w:rsidRDefault="00AE0FB6" w:rsidP="00AE0FB6">
      <w:pPr>
        <w:pStyle w:val="ListeParagraf"/>
        <w:ind w:left="567"/>
        <w:jc w:val="both"/>
        <w:rPr>
          <w:rFonts w:ascii="Tahoma" w:hAnsi="Tahoma" w:cs="Tahoma"/>
          <w:lang w:eastAsia="tr-TR"/>
        </w:rPr>
      </w:pPr>
    </w:p>
    <w:p w14:paraId="292CC5DD" w14:textId="066CC008" w:rsidR="00D222F1" w:rsidRPr="00E66F82" w:rsidRDefault="00D222F1" w:rsidP="00E54F74">
      <w:pPr>
        <w:pStyle w:val="ListeParagraf"/>
        <w:numPr>
          <w:ilvl w:val="0"/>
          <w:numId w:val="2"/>
        </w:numPr>
        <w:ind w:left="567" w:hanging="644"/>
        <w:jc w:val="both"/>
        <w:rPr>
          <w:rFonts w:asciiTheme="minorHAnsi" w:hAnsiTheme="minorHAnsi" w:cstheme="minorHAnsi"/>
          <w:b/>
          <w:sz w:val="23"/>
          <w:szCs w:val="23"/>
        </w:rPr>
      </w:pPr>
      <w:r w:rsidRPr="00E66F82">
        <w:rPr>
          <w:rFonts w:asciiTheme="minorHAnsi" w:hAnsiTheme="minorHAnsi" w:cstheme="minorHAnsi"/>
          <w:b/>
          <w:sz w:val="23"/>
          <w:szCs w:val="23"/>
        </w:rPr>
        <w:t>Serma</w:t>
      </w:r>
      <w:r w:rsidR="009D0E43" w:rsidRPr="00E66F82">
        <w:rPr>
          <w:rFonts w:asciiTheme="minorHAnsi" w:hAnsiTheme="minorHAnsi" w:cstheme="minorHAnsi"/>
          <w:b/>
          <w:sz w:val="23"/>
          <w:szCs w:val="23"/>
        </w:rPr>
        <w:t>y</w:t>
      </w:r>
      <w:r w:rsidRPr="00E66F82">
        <w:rPr>
          <w:rFonts w:asciiTheme="minorHAnsi" w:hAnsiTheme="minorHAnsi" w:cstheme="minorHAnsi"/>
          <w:b/>
          <w:sz w:val="23"/>
          <w:szCs w:val="23"/>
        </w:rPr>
        <w:t xml:space="preserve">e Piyasası Kanunu’nun 19. </w:t>
      </w:r>
      <w:r w:rsidR="00265270" w:rsidRPr="00E66F82">
        <w:rPr>
          <w:rFonts w:asciiTheme="minorHAnsi" w:hAnsiTheme="minorHAnsi" w:cstheme="minorHAnsi"/>
          <w:b/>
          <w:sz w:val="23"/>
          <w:szCs w:val="23"/>
        </w:rPr>
        <w:t>m</w:t>
      </w:r>
      <w:r w:rsidRPr="00E66F82">
        <w:rPr>
          <w:rFonts w:asciiTheme="minorHAnsi" w:hAnsiTheme="minorHAnsi" w:cstheme="minorHAnsi"/>
          <w:b/>
          <w:sz w:val="23"/>
          <w:szCs w:val="23"/>
        </w:rPr>
        <w:t xml:space="preserve">addesinin 5. </w:t>
      </w:r>
      <w:r w:rsidR="00265270" w:rsidRPr="00E66F82">
        <w:rPr>
          <w:rFonts w:asciiTheme="minorHAnsi" w:hAnsiTheme="minorHAnsi" w:cstheme="minorHAnsi"/>
          <w:b/>
          <w:sz w:val="23"/>
          <w:szCs w:val="23"/>
        </w:rPr>
        <w:t>f</w:t>
      </w:r>
      <w:r w:rsidRPr="00E66F82">
        <w:rPr>
          <w:rFonts w:asciiTheme="minorHAnsi" w:hAnsiTheme="minorHAnsi" w:cstheme="minorHAnsi"/>
          <w:b/>
          <w:sz w:val="23"/>
          <w:szCs w:val="23"/>
        </w:rPr>
        <w:t xml:space="preserve">ıkrası uyarınca Şirket tarafından </w:t>
      </w:r>
      <w:r w:rsidR="00EB5317" w:rsidRPr="00E66F82">
        <w:rPr>
          <w:rFonts w:asciiTheme="minorHAnsi" w:hAnsiTheme="minorHAnsi" w:cstheme="minorHAnsi"/>
          <w:b/>
          <w:sz w:val="23"/>
          <w:szCs w:val="23"/>
        </w:rPr>
        <w:t>20</w:t>
      </w:r>
      <w:r w:rsidR="00AF0B92" w:rsidRPr="00E66F82">
        <w:rPr>
          <w:rFonts w:asciiTheme="minorHAnsi" w:hAnsiTheme="minorHAnsi" w:cstheme="minorHAnsi"/>
          <w:b/>
          <w:sz w:val="23"/>
          <w:szCs w:val="23"/>
        </w:rPr>
        <w:t>2</w:t>
      </w:r>
      <w:r w:rsidR="00AF283A">
        <w:rPr>
          <w:rFonts w:asciiTheme="minorHAnsi" w:hAnsiTheme="minorHAnsi" w:cstheme="minorHAnsi"/>
          <w:b/>
          <w:sz w:val="23"/>
          <w:szCs w:val="23"/>
        </w:rPr>
        <w:t>6</w:t>
      </w:r>
      <w:r w:rsidR="00EB5317" w:rsidRPr="00E66F82">
        <w:rPr>
          <w:rFonts w:asciiTheme="minorHAnsi" w:hAnsiTheme="minorHAnsi" w:cstheme="minorHAnsi"/>
          <w:b/>
          <w:sz w:val="23"/>
          <w:szCs w:val="23"/>
        </w:rPr>
        <w:t xml:space="preserve"> yılında </w:t>
      </w:r>
      <w:r w:rsidRPr="00E66F82">
        <w:rPr>
          <w:rFonts w:asciiTheme="minorHAnsi" w:hAnsiTheme="minorHAnsi" w:cstheme="minorHAnsi"/>
          <w:b/>
          <w:sz w:val="23"/>
          <w:szCs w:val="23"/>
        </w:rPr>
        <w:t>yapılacak bağışların üst sınırının belirlenmesi</w:t>
      </w:r>
    </w:p>
    <w:p w14:paraId="35AF6DB4" w14:textId="77777777" w:rsidR="00D222F1" w:rsidRPr="00E66F82" w:rsidRDefault="00D222F1" w:rsidP="00BF5670">
      <w:pPr>
        <w:pStyle w:val="ListeParagraf"/>
        <w:tabs>
          <w:tab w:val="num" w:pos="567"/>
        </w:tabs>
        <w:ind w:left="567" w:hanging="567"/>
        <w:jc w:val="both"/>
        <w:rPr>
          <w:rFonts w:asciiTheme="minorHAnsi" w:hAnsiTheme="minorHAnsi"/>
          <w:sz w:val="10"/>
          <w:szCs w:val="10"/>
        </w:rPr>
      </w:pPr>
    </w:p>
    <w:p w14:paraId="2D466BA4" w14:textId="1D354827" w:rsidR="00E66F82" w:rsidRDefault="00D222F1" w:rsidP="00D222F1">
      <w:pPr>
        <w:pStyle w:val="ListeParagraf"/>
        <w:ind w:left="567"/>
        <w:jc w:val="both"/>
        <w:rPr>
          <w:rFonts w:asciiTheme="minorHAnsi" w:hAnsiTheme="minorHAnsi"/>
          <w:sz w:val="23"/>
          <w:szCs w:val="23"/>
        </w:rPr>
      </w:pPr>
      <w:r w:rsidRPr="00E66F82">
        <w:rPr>
          <w:rFonts w:asciiTheme="minorHAnsi" w:hAnsiTheme="minorHAnsi"/>
          <w:sz w:val="23"/>
          <w:szCs w:val="23"/>
        </w:rPr>
        <w:t xml:space="preserve">Sermaye Piyasası Mevzuatı uyarınca Şirket tarafından yapılacak bağışların üst sınırının Genel Kurul tarafından belirlenmesi gerekmektedir. </w:t>
      </w:r>
      <w:r w:rsidR="006E2008" w:rsidRPr="00E66F82">
        <w:rPr>
          <w:rFonts w:asciiTheme="minorHAnsi" w:hAnsiTheme="minorHAnsi"/>
          <w:sz w:val="23"/>
          <w:szCs w:val="23"/>
        </w:rPr>
        <w:t>Yönetim Kurulu</w:t>
      </w:r>
      <w:r w:rsidR="00265270" w:rsidRPr="00E66F82">
        <w:rPr>
          <w:rFonts w:asciiTheme="minorHAnsi" w:hAnsiTheme="minorHAnsi"/>
          <w:sz w:val="23"/>
          <w:szCs w:val="23"/>
        </w:rPr>
        <w:t>’</w:t>
      </w:r>
      <w:r w:rsidR="006E2008" w:rsidRPr="00E66F82">
        <w:rPr>
          <w:rFonts w:asciiTheme="minorHAnsi" w:hAnsiTheme="minorHAnsi"/>
          <w:sz w:val="23"/>
          <w:szCs w:val="23"/>
        </w:rPr>
        <w:t>nun</w:t>
      </w:r>
      <w:r w:rsidRPr="00E66F82">
        <w:rPr>
          <w:rFonts w:asciiTheme="minorHAnsi" w:hAnsiTheme="minorHAnsi"/>
          <w:sz w:val="23"/>
          <w:szCs w:val="23"/>
        </w:rPr>
        <w:t xml:space="preserve"> 20</w:t>
      </w:r>
      <w:r w:rsidR="00AF0B92" w:rsidRPr="00E66F82">
        <w:rPr>
          <w:rFonts w:asciiTheme="minorHAnsi" w:hAnsiTheme="minorHAnsi"/>
          <w:sz w:val="23"/>
          <w:szCs w:val="23"/>
        </w:rPr>
        <w:t>2</w:t>
      </w:r>
      <w:r w:rsidR="009D6AC4">
        <w:rPr>
          <w:rFonts w:asciiTheme="minorHAnsi" w:hAnsiTheme="minorHAnsi"/>
          <w:sz w:val="23"/>
          <w:szCs w:val="23"/>
        </w:rPr>
        <w:t>6</w:t>
      </w:r>
      <w:r w:rsidRPr="00E66F82">
        <w:rPr>
          <w:rFonts w:asciiTheme="minorHAnsi" w:hAnsiTheme="minorHAnsi"/>
          <w:sz w:val="23"/>
          <w:szCs w:val="23"/>
        </w:rPr>
        <w:t xml:space="preserve"> yılına ilişkin tespit ettiği yıllık bağış limiti </w:t>
      </w:r>
      <w:r w:rsidR="009D6AC4">
        <w:rPr>
          <w:rFonts w:asciiTheme="minorHAnsi" w:hAnsiTheme="minorHAnsi"/>
          <w:sz w:val="23"/>
          <w:szCs w:val="23"/>
        </w:rPr>
        <w:t xml:space="preserve">1.000.000 </w:t>
      </w:r>
      <w:r w:rsidRPr="00E66F82">
        <w:rPr>
          <w:rFonts w:asciiTheme="minorHAnsi" w:hAnsiTheme="minorHAnsi"/>
          <w:sz w:val="23"/>
          <w:szCs w:val="23"/>
        </w:rPr>
        <w:t xml:space="preserve">TL olup, </w:t>
      </w:r>
      <w:r w:rsidR="00A10463" w:rsidRPr="00E66F82">
        <w:rPr>
          <w:rFonts w:asciiTheme="minorHAnsi" w:hAnsiTheme="minorHAnsi"/>
          <w:sz w:val="23"/>
          <w:szCs w:val="23"/>
        </w:rPr>
        <w:t>bu tutar Genel Kurul</w:t>
      </w:r>
      <w:r w:rsidR="00265270" w:rsidRPr="00E66F82">
        <w:rPr>
          <w:rFonts w:asciiTheme="minorHAnsi" w:hAnsiTheme="minorHAnsi"/>
          <w:sz w:val="23"/>
          <w:szCs w:val="23"/>
        </w:rPr>
        <w:t>’</w:t>
      </w:r>
      <w:r w:rsidR="00A10463" w:rsidRPr="00E66F82">
        <w:rPr>
          <w:rFonts w:asciiTheme="minorHAnsi" w:hAnsiTheme="minorHAnsi"/>
          <w:sz w:val="23"/>
          <w:szCs w:val="23"/>
        </w:rPr>
        <w:t>un onayına sunulacaktır.</w:t>
      </w:r>
    </w:p>
    <w:p w14:paraId="5DA904F4" w14:textId="77777777" w:rsidR="00E66F82" w:rsidRDefault="00E66F82">
      <w:pPr>
        <w:overflowPunct/>
        <w:autoSpaceDE/>
        <w:autoSpaceDN/>
        <w:adjustRightInd/>
        <w:textAlignment w:val="auto"/>
        <w:rPr>
          <w:rFonts w:asciiTheme="minorHAnsi" w:hAnsiTheme="minorHAnsi"/>
          <w:sz w:val="23"/>
          <w:szCs w:val="23"/>
        </w:rPr>
      </w:pPr>
      <w:r>
        <w:rPr>
          <w:rFonts w:asciiTheme="minorHAnsi" w:hAnsiTheme="minorHAnsi"/>
          <w:sz w:val="23"/>
          <w:szCs w:val="23"/>
        </w:rPr>
        <w:br w:type="page"/>
      </w:r>
    </w:p>
    <w:p w14:paraId="70EE428C" w14:textId="77777777" w:rsidR="00B76DA3" w:rsidRDefault="00B76DA3" w:rsidP="00021F9D">
      <w:pPr>
        <w:jc w:val="center"/>
        <w:rPr>
          <w:rFonts w:asciiTheme="minorHAnsi" w:hAnsiTheme="minorHAnsi" w:cstheme="minorHAnsi"/>
          <w:b/>
          <w:sz w:val="24"/>
          <w:szCs w:val="24"/>
        </w:rPr>
      </w:pPr>
      <w:r w:rsidRPr="00B76DA3">
        <w:rPr>
          <w:rFonts w:asciiTheme="minorHAnsi" w:hAnsiTheme="minorHAnsi" w:cstheme="minorHAnsi"/>
          <w:b/>
          <w:sz w:val="24"/>
          <w:szCs w:val="24"/>
        </w:rPr>
        <w:lastRenderedPageBreak/>
        <w:t>SERMAYE PİYASASI MEVZUATI KAPSAMINDA EK AÇIKLAMALAR</w:t>
      </w:r>
    </w:p>
    <w:p w14:paraId="7F7BE938" w14:textId="77777777" w:rsidR="00A02C29" w:rsidRDefault="00A02C29" w:rsidP="00021F9D">
      <w:pPr>
        <w:jc w:val="center"/>
        <w:rPr>
          <w:rFonts w:asciiTheme="minorHAnsi" w:hAnsiTheme="minorHAnsi" w:cstheme="minorHAnsi"/>
          <w:b/>
          <w:sz w:val="24"/>
          <w:szCs w:val="24"/>
        </w:rPr>
      </w:pPr>
    </w:p>
    <w:p w14:paraId="4FAF0CFE" w14:textId="77777777" w:rsidR="00A02C29" w:rsidRPr="00A02C29" w:rsidRDefault="00A02C29" w:rsidP="00A02C29">
      <w:pPr>
        <w:pStyle w:val="NormalWeb"/>
        <w:jc w:val="both"/>
        <w:rPr>
          <w:rFonts w:asciiTheme="minorHAnsi" w:hAnsiTheme="minorHAnsi" w:cstheme="minorHAnsi"/>
          <w:sz w:val="22"/>
          <w:szCs w:val="22"/>
        </w:rPr>
      </w:pPr>
      <w:r w:rsidRPr="00A02C29">
        <w:rPr>
          <w:rFonts w:asciiTheme="minorHAnsi" w:hAnsiTheme="minorHAnsi" w:cstheme="minorHAnsi"/>
          <w:sz w:val="22"/>
          <w:szCs w:val="22"/>
        </w:rPr>
        <w:t>Sermaye Piyasası Kurulu’nun Seri:IV, No:57 sayılı “Kurumsal Yönetim İlkelerinin Belirlenmesine ve Uygulanmasına İlişkin Tebliği” uyarınca yapılması gereken ek açıklamalar aşağıda sunulmaktadır:</w:t>
      </w:r>
    </w:p>
    <w:p w14:paraId="09924BA9" w14:textId="77777777" w:rsidR="00A02C29" w:rsidRPr="00A02C29" w:rsidRDefault="00A02C29" w:rsidP="00A02C29">
      <w:pPr>
        <w:rPr>
          <w:rStyle w:val="Gl"/>
          <w:rFonts w:asciiTheme="minorHAnsi" w:hAnsiTheme="minorHAnsi" w:cstheme="minorHAnsi"/>
          <w:sz w:val="22"/>
          <w:szCs w:val="22"/>
          <w:lang w:eastAsia="tr-TR"/>
        </w:rPr>
      </w:pPr>
      <w:r w:rsidRPr="00A02C29">
        <w:rPr>
          <w:rStyle w:val="Gl"/>
          <w:rFonts w:asciiTheme="minorHAnsi" w:hAnsiTheme="minorHAnsi" w:cstheme="minorHAnsi"/>
          <w:sz w:val="22"/>
          <w:szCs w:val="22"/>
          <w:lang w:eastAsia="tr-TR"/>
        </w:rPr>
        <w:t>Şirketimiz Ortaklık Yapısı ve Oy Hakları</w:t>
      </w:r>
    </w:p>
    <w:tbl>
      <w:tblPr>
        <w:tblStyle w:val="TabloKlavuzu"/>
        <w:tblW w:w="9243" w:type="dxa"/>
        <w:tblInd w:w="108" w:type="dxa"/>
        <w:tblLayout w:type="fixed"/>
        <w:tblLook w:val="04A0" w:firstRow="1" w:lastRow="0" w:firstColumn="1" w:lastColumn="0" w:noHBand="0" w:noVBand="1"/>
      </w:tblPr>
      <w:tblGrid>
        <w:gridCol w:w="3375"/>
        <w:gridCol w:w="1687"/>
        <w:gridCol w:w="1687"/>
        <w:gridCol w:w="1354"/>
        <w:gridCol w:w="1140"/>
      </w:tblGrid>
      <w:tr w:rsidR="00A013D8" w:rsidRPr="00A02C29" w14:paraId="1123FC83" w14:textId="77777777" w:rsidTr="00225F2B">
        <w:trPr>
          <w:trHeight w:val="537"/>
        </w:trPr>
        <w:tc>
          <w:tcPr>
            <w:tcW w:w="3375" w:type="dxa"/>
            <w:vAlign w:val="bottom"/>
          </w:tcPr>
          <w:p w14:paraId="4C6D4EA3" w14:textId="77777777" w:rsidR="00A02C29" w:rsidRPr="00A02C29" w:rsidRDefault="00A02C29" w:rsidP="00225F2B">
            <w:pPr>
              <w:rPr>
                <w:rStyle w:val="Gl"/>
                <w:rFonts w:eastAsia="Times New Roman" w:cstheme="minorHAnsi"/>
                <w:lang w:eastAsia="tr-TR"/>
              </w:rPr>
            </w:pPr>
            <w:r w:rsidRPr="00A02C29">
              <w:rPr>
                <w:rStyle w:val="Gl"/>
                <w:rFonts w:eastAsia="Times New Roman" w:cstheme="minorHAnsi"/>
                <w:lang w:eastAsia="tr-TR"/>
              </w:rPr>
              <w:t>Hissedarlar</w:t>
            </w:r>
          </w:p>
        </w:tc>
        <w:tc>
          <w:tcPr>
            <w:tcW w:w="1687" w:type="dxa"/>
            <w:vAlign w:val="bottom"/>
          </w:tcPr>
          <w:p w14:paraId="186E9E8E" w14:textId="77777777" w:rsidR="00A02C29" w:rsidRPr="00A02C29" w:rsidRDefault="00A02C29" w:rsidP="00225F2B">
            <w:pPr>
              <w:jc w:val="center"/>
              <w:rPr>
                <w:rStyle w:val="Gl"/>
                <w:rFonts w:eastAsia="Times New Roman" w:cstheme="minorHAnsi"/>
                <w:lang w:eastAsia="tr-TR"/>
              </w:rPr>
            </w:pPr>
            <w:r w:rsidRPr="00A02C29">
              <w:rPr>
                <w:rStyle w:val="Gl"/>
                <w:rFonts w:eastAsia="Times New Roman" w:cstheme="minorHAnsi"/>
                <w:lang w:eastAsia="tr-TR"/>
              </w:rPr>
              <w:t>Hisse Tutarı (TL)</w:t>
            </w:r>
          </w:p>
        </w:tc>
        <w:tc>
          <w:tcPr>
            <w:tcW w:w="1687" w:type="dxa"/>
            <w:vAlign w:val="bottom"/>
          </w:tcPr>
          <w:p w14:paraId="66C5712B" w14:textId="77777777" w:rsidR="00A02C29" w:rsidRPr="00A02C29" w:rsidRDefault="00A02C29" w:rsidP="00225F2B">
            <w:pPr>
              <w:jc w:val="center"/>
              <w:rPr>
                <w:rStyle w:val="Gl"/>
                <w:rFonts w:eastAsia="Times New Roman" w:cstheme="minorHAnsi"/>
                <w:lang w:eastAsia="tr-TR"/>
              </w:rPr>
            </w:pPr>
            <w:r w:rsidRPr="00A02C29">
              <w:rPr>
                <w:rStyle w:val="Gl"/>
                <w:rFonts w:eastAsia="Times New Roman" w:cstheme="minorHAnsi"/>
                <w:lang w:eastAsia="tr-TR"/>
              </w:rPr>
              <w:t>Hisse Adedi</w:t>
            </w:r>
          </w:p>
        </w:tc>
        <w:tc>
          <w:tcPr>
            <w:tcW w:w="1354" w:type="dxa"/>
            <w:vAlign w:val="bottom"/>
          </w:tcPr>
          <w:p w14:paraId="42F7F37C" w14:textId="77777777" w:rsidR="00225F2B" w:rsidRDefault="00A02C29" w:rsidP="00225F2B">
            <w:pPr>
              <w:jc w:val="center"/>
              <w:rPr>
                <w:rStyle w:val="Gl"/>
                <w:rFonts w:eastAsia="Times New Roman" w:cstheme="minorHAnsi"/>
                <w:lang w:eastAsia="tr-TR"/>
              </w:rPr>
            </w:pPr>
            <w:r w:rsidRPr="00A02C29">
              <w:rPr>
                <w:rStyle w:val="Gl"/>
                <w:rFonts w:eastAsia="Times New Roman" w:cstheme="minorHAnsi"/>
                <w:lang w:eastAsia="tr-TR"/>
              </w:rPr>
              <w:t>Hisse</w:t>
            </w:r>
            <w:r w:rsidR="00225F2B">
              <w:rPr>
                <w:rStyle w:val="Gl"/>
                <w:rFonts w:eastAsia="Times New Roman" w:cstheme="minorHAnsi"/>
                <w:lang w:eastAsia="tr-TR"/>
              </w:rPr>
              <w:t xml:space="preserve"> </w:t>
            </w:r>
          </w:p>
          <w:p w14:paraId="3F9378AE" w14:textId="0905EA3E" w:rsidR="00A02C29" w:rsidRPr="00A02C29" w:rsidRDefault="00A02C29" w:rsidP="00225F2B">
            <w:pPr>
              <w:jc w:val="center"/>
              <w:rPr>
                <w:rStyle w:val="Gl"/>
                <w:rFonts w:eastAsia="Times New Roman" w:cstheme="minorHAnsi"/>
                <w:lang w:eastAsia="tr-TR"/>
              </w:rPr>
            </w:pPr>
            <w:r w:rsidRPr="00A02C29">
              <w:rPr>
                <w:rStyle w:val="Gl"/>
                <w:rFonts w:eastAsia="Times New Roman" w:cstheme="minorHAnsi"/>
                <w:lang w:eastAsia="tr-TR"/>
              </w:rPr>
              <w:t>Oranı (%)</w:t>
            </w:r>
          </w:p>
        </w:tc>
        <w:tc>
          <w:tcPr>
            <w:tcW w:w="1140" w:type="dxa"/>
            <w:vAlign w:val="bottom"/>
          </w:tcPr>
          <w:p w14:paraId="178980EF" w14:textId="77777777" w:rsidR="00A02C29" w:rsidRPr="00A02C29" w:rsidRDefault="00A02C29" w:rsidP="00225F2B">
            <w:pPr>
              <w:jc w:val="center"/>
              <w:rPr>
                <w:rStyle w:val="Gl"/>
                <w:rFonts w:eastAsia="Times New Roman" w:cstheme="minorHAnsi"/>
                <w:lang w:eastAsia="tr-TR"/>
              </w:rPr>
            </w:pPr>
            <w:r w:rsidRPr="00A02C29">
              <w:rPr>
                <w:rStyle w:val="Gl"/>
                <w:rFonts w:eastAsia="Times New Roman" w:cstheme="minorHAnsi"/>
                <w:lang w:eastAsia="tr-TR"/>
              </w:rPr>
              <w:t>Oy Hakkı (%)</w:t>
            </w:r>
          </w:p>
        </w:tc>
      </w:tr>
      <w:tr w:rsidR="00B27202" w:rsidRPr="00A02C29" w14:paraId="3368F3B4" w14:textId="77777777" w:rsidTr="00B27202">
        <w:trPr>
          <w:trHeight w:val="265"/>
        </w:trPr>
        <w:tc>
          <w:tcPr>
            <w:tcW w:w="3375" w:type="dxa"/>
            <w:shd w:val="clear" w:color="auto" w:fill="auto"/>
          </w:tcPr>
          <w:p w14:paraId="2C9ADD19" w14:textId="77777777" w:rsidR="00B27202" w:rsidRPr="00B27202" w:rsidRDefault="00B27202" w:rsidP="00B27202">
            <w:pPr>
              <w:tabs>
                <w:tab w:val="left" w:pos="-1440"/>
                <w:tab w:val="left" w:pos="-720"/>
                <w:tab w:val="left" w:pos="-38"/>
              </w:tabs>
              <w:suppressAutoHyphens/>
              <w:ind w:right="22"/>
              <w:jc w:val="both"/>
              <w:rPr>
                <w:rFonts w:cstheme="minorHAnsi"/>
                <w:spacing w:val="-3"/>
              </w:rPr>
            </w:pPr>
            <w:r w:rsidRPr="00B27202">
              <w:rPr>
                <w:rFonts w:cstheme="minorHAnsi"/>
                <w:spacing w:val="-3"/>
              </w:rPr>
              <w:t>Türkiye İş Bankası A.Ş.</w:t>
            </w:r>
          </w:p>
        </w:tc>
        <w:tc>
          <w:tcPr>
            <w:tcW w:w="1687" w:type="dxa"/>
            <w:tcBorders>
              <w:top w:val="nil"/>
              <w:left w:val="nil"/>
              <w:bottom w:val="single" w:sz="8" w:space="0" w:color="000000"/>
              <w:right w:val="single" w:sz="8" w:space="0" w:color="000000"/>
            </w:tcBorders>
            <w:vAlign w:val="center"/>
          </w:tcPr>
          <w:p w14:paraId="4C20C1B4" w14:textId="4B04611E" w:rsidR="00B27202" w:rsidRPr="00B27202" w:rsidRDefault="00B27202" w:rsidP="00B27202">
            <w:pPr>
              <w:jc w:val="right"/>
              <w:rPr>
                <w:rFonts w:cstheme="minorHAnsi"/>
                <w:highlight w:val="yellow"/>
              </w:rPr>
            </w:pPr>
            <w:r w:rsidRPr="00B27202">
              <w:rPr>
                <w:rFonts w:cstheme="minorHAnsi"/>
                <w:color w:val="000000"/>
                <w:szCs w:val="20"/>
              </w:rPr>
              <w:t>21</w:t>
            </w:r>
            <w:r w:rsidR="006267AD">
              <w:rPr>
                <w:rFonts w:cstheme="minorHAnsi"/>
                <w:color w:val="000000"/>
                <w:szCs w:val="20"/>
              </w:rPr>
              <w:t>2</w:t>
            </w:r>
            <w:r w:rsidRPr="00B27202">
              <w:rPr>
                <w:rFonts w:cstheme="minorHAnsi"/>
                <w:color w:val="000000"/>
                <w:szCs w:val="20"/>
              </w:rPr>
              <w:t>.</w:t>
            </w:r>
            <w:r w:rsidR="006267AD">
              <w:rPr>
                <w:rFonts w:cstheme="minorHAnsi"/>
                <w:color w:val="000000"/>
                <w:szCs w:val="20"/>
              </w:rPr>
              <w:t>231.302</w:t>
            </w:r>
          </w:p>
        </w:tc>
        <w:tc>
          <w:tcPr>
            <w:tcW w:w="1687" w:type="dxa"/>
            <w:tcBorders>
              <w:top w:val="nil"/>
              <w:left w:val="nil"/>
              <w:bottom w:val="single" w:sz="8" w:space="0" w:color="000000"/>
              <w:right w:val="single" w:sz="8" w:space="0" w:color="000000"/>
            </w:tcBorders>
            <w:vAlign w:val="center"/>
          </w:tcPr>
          <w:p w14:paraId="1FB3E405" w14:textId="49984A1C" w:rsidR="00B27202" w:rsidRPr="00B27202" w:rsidRDefault="006267AD" w:rsidP="00B27202">
            <w:pPr>
              <w:suppressAutoHyphens/>
              <w:ind w:right="22"/>
              <w:jc w:val="right"/>
              <w:rPr>
                <w:rFonts w:cstheme="minorHAnsi"/>
                <w:spacing w:val="-3"/>
                <w:highlight w:val="yellow"/>
              </w:rPr>
            </w:pPr>
            <w:r w:rsidRPr="006267AD">
              <w:rPr>
                <w:rFonts w:cstheme="minorHAnsi"/>
                <w:color w:val="000000"/>
                <w:szCs w:val="20"/>
              </w:rPr>
              <w:t>21</w:t>
            </w:r>
            <w:r>
              <w:rPr>
                <w:rFonts w:cstheme="minorHAnsi"/>
                <w:color w:val="000000"/>
                <w:szCs w:val="20"/>
              </w:rPr>
              <w:t>.</w:t>
            </w:r>
            <w:r w:rsidRPr="006267AD">
              <w:rPr>
                <w:rFonts w:cstheme="minorHAnsi"/>
                <w:color w:val="000000"/>
                <w:szCs w:val="20"/>
              </w:rPr>
              <w:t>223</w:t>
            </w:r>
            <w:r>
              <w:rPr>
                <w:rFonts w:cstheme="minorHAnsi"/>
                <w:color w:val="000000"/>
                <w:szCs w:val="20"/>
              </w:rPr>
              <w:t>.</w:t>
            </w:r>
            <w:r w:rsidRPr="006267AD">
              <w:rPr>
                <w:rFonts w:cstheme="minorHAnsi"/>
                <w:color w:val="000000"/>
                <w:szCs w:val="20"/>
              </w:rPr>
              <w:t>130</w:t>
            </w:r>
            <w:r>
              <w:rPr>
                <w:rFonts w:cstheme="minorHAnsi"/>
                <w:color w:val="000000"/>
                <w:szCs w:val="20"/>
              </w:rPr>
              <w:t>.169</w:t>
            </w:r>
          </w:p>
        </w:tc>
        <w:tc>
          <w:tcPr>
            <w:tcW w:w="1354" w:type="dxa"/>
            <w:tcBorders>
              <w:top w:val="nil"/>
              <w:left w:val="nil"/>
              <w:bottom w:val="single" w:sz="8" w:space="0" w:color="000000"/>
              <w:right w:val="single" w:sz="8" w:space="0" w:color="000000"/>
            </w:tcBorders>
            <w:vAlign w:val="center"/>
          </w:tcPr>
          <w:p w14:paraId="533F4E2F" w14:textId="2AB61D62"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30,</w:t>
            </w:r>
            <w:r w:rsidR="006267AD">
              <w:rPr>
                <w:rFonts w:cstheme="minorHAnsi"/>
                <w:color w:val="000000"/>
                <w:szCs w:val="20"/>
              </w:rPr>
              <w:t>52</w:t>
            </w:r>
          </w:p>
        </w:tc>
        <w:tc>
          <w:tcPr>
            <w:tcW w:w="1140" w:type="dxa"/>
            <w:tcBorders>
              <w:top w:val="nil"/>
              <w:left w:val="nil"/>
              <w:bottom w:val="single" w:sz="8" w:space="0" w:color="000000"/>
              <w:right w:val="single" w:sz="8" w:space="0" w:color="000000"/>
            </w:tcBorders>
            <w:vAlign w:val="center"/>
          </w:tcPr>
          <w:p w14:paraId="3EA74E05" w14:textId="5C28DC33"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30,</w:t>
            </w:r>
            <w:r w:rsidR="006267AD">
              <w:rPr>
                <w:rFonts w:cstheme="minorHAnsi"/>
                <w:color w:val="000000"/>
                <w:szCs w:val="20"/>
              </w:rPr>
              <w:t>52</w:t>
            </w:r>
          </w:p>
        </w:tc>
      </w:tr>
      <w:tr w:rsidR="00B27202" w:rsidRPr="00A02C29" w14:paraId="4C7657DD" w14:textId="77777777" w:rsidTr="00B27202">
        <w:trPr>
          <w:trHeight w:val="265"/>
        </w:trPr>
        <w:tc>
          <w:tcPr>
            <w:tcW w:w="3375" w:type="dxa"/>
            <w:shd w:val="clear" w:color="auto" w:fill="auto"/>
          </w:tcPr>
          <w:p w14:paraId="5C5A0AB8" w14:textId="423E4FA1" w:rsidR="00B27202" w:rsidRPr="00B27202" w:rsidRDefault="00B27202" w:rsidP="00B27202">
            <w:pPr>
              <w:tabs>
                <w:tab w:val="left" w:pos="-1440"/>
                <w:tab w:val="left" w:pos="-720"/>
                <w:tab w:val="left" w:pos="-38"/>
              </w:tabs>
              <w:suppressAutoHyphens/>
              <w:ind w:right="22"/>
              <w:jc w:val="both"/>
              <w:rPr>
                <w:rFonts w:cstheme="minorHAnsi"/>
                <w:spacing w:val="-3"/>
              </w:rPr>
            </w:pPr>
            <w:r w:rsidRPr="00B27202">
              <w:rPr>
                <w:rFonts w:cstheme="minorHAnsi"/>
                <w:spacing w:val="-3"/>
              </w:rPr>
              <w:t>Türkiye Sınai Kalkınma Bankası A.Ş.</w:t>
            </w:r>
          </w:p>
        </w:tc>
        <w:tc>
          <w:tcPr>
            <w:tcW w:w="1687" w:type="dxa"/>
            <w:tcBorders>
              <w:top w:val="nil"/>
              <w:left w:val="nil"/>
              <w:bottom w:val="single" w:sz="8" w:space="0" w:color="000000"/>
              <w:right w:val="single" w:sz="8" w:space="0" w:color="000000"/>
            </w:tcBorders>
            <w:vAlign w:val="center"/>
          </w:tcPr>
          <w:p w14:paraId="055A15E1" w14:textId="707FF168" w:rsidR="00B27202" w:rsidRPr="00B27202" w:rsidRDefault="00B27202" w:rsidP="00B27202">
            <w:pPr>
              <w:jc w:val="right"/>
              <w:rPr>
                <w:rFonts w:cstheme="minorHAnsi"/>
                <w:highlight w:val="yellow"/>
              </w:rPr>
            </w:pPr>
            <w:r w:rsidRPr="00B27202">
              <w:rPr>
                <w:rFonts w:cstheme="minorHAnsi"/>
                <w:color w:val="000000"/>
                <w:szCs w:val="20"/>
              </w:rPr>
              <w:t>204.850.378</w:t>
            </w:r>
          </w:p>
        </w:tc>
        <w:tc>
          <w:tcPr>
            <w:tcW w:w="1687" w:type="dxa"/>
            <w:tcBorders>
              <w:top w:val="nil"/>
              <w:left w:val="nil"/>
              <w:bottom w:val="single" w:sz="8" w:space="0" w:color="000000"/>
              <w:right w:val="single" w:sz="8" w:space="0" w:color="000000"/>
            </w:tcBorders>
            <w:vAlign w:val="center"/>
          </w:tcPr>
          <w:p w14:paraId="6C0614D4" w14:textId="495F02F3"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20.485.037.833</w:t>
            </w:r>
          </w:p>
        </w:tc>
        <w:tc>
          <w:tcPr>
            <w:tcW w:w="1354" w:type="dxa"/>
            <w:tcBorders>
              <w:top w:val="nil"/>
              <w:left w:val="nil"/>
              <w:bottom w:val="single" w:sz="8" w:space="0" w:color="000000"/>
              <w:right w:val="single" w:sz="8" w:space="0" w:color="000000"/>
            </w:tcBorders>
            <w:vAlign w:val="center"/>
          </w:tcPr>
          <w:p w14:paraId="4059FCC8" w14:textId="0D017577"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29,46</w:t>
            </w:r>
          </w:p>
        </w:tc>
        <w:tc>
          <w:tcPr>
            <w:tcW w:w="1140" w:type="dxa"/>
            <w:tcBorders>
              <w:top w:val="nil"/>
              <w:left w:val="nil"/>
              <w:bottom w:val="single" w:sz="8" w:space="0" w:color="000000"/>
              <w:right w:val="single" w:sz="8" w:space="0" w:color="000000"/>
            </w:tcBorders>
            <w:vAlign w:val="center"/>
          </w:tcPr>
          <w:p w14:paraId="5743508F" w14:textId="14C3D619"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29,46</w:t>
            </w:r>
          </w:p>
        </w:tc>
      </w:tr>
      <w:tr w:rsidR="00B27202" w:rsidRPr="00A02C29" w14:paraId="40156EA8" w14:textId="77777777" w:rsidTr="00B27202">
        <w:trPr>
          <w:trHeight w:val="277"/>
        </w:trPr>
        <w:tc>
          <w:tcPr>
            <w:tcW w:w="3375" w:type="dxa"/>
            <w:shd w:val="clear" w:color="auto" w:fill="auto"/>
          </w:tcPr>
          <w:p w14:paraId="3C10F282" w14:textId="77777777" w:rsidR="00B27202" w:rsidRPr="00B27202" w:rsidRDefault="00B27202" w:rsidP="00B27202">
            <w:pPr>
              <w:tabs>
                <w:tab w:val="left" w:pos="-1440"/>
                <w:tab w:val="left" w:pos="-720"/>
                <w:tab w:val="left" w:pos="-38"/>
              </w:tabs>
              <w:suppressAutoHyphens/>
              <w:ind w:right="22"/>
              <w:jc w:val="both"/>
              <w:rPr>
                <w:rFonts w:cstheme="minorHAnsi"/>
                <w:spacing w:val="-3"/>
              </w:rPr>
            </w:pPr>
            <w:r w:rsidRPr="00B27202">
              <w:rPr>
                <w:rFonts w:cstheme="minorHAnsi"/>
                <w:spacing w:val="-3"/>
              </w:rPr>
              <w:t>Trakya Yatırım Holding A.Ş.</w:t>
            </w:r>
          </w:p>
        </w:tc>
        <w:tc>
          <w:tcPr>
            <w:tcW w:w="1687" w:type="dxa"/>
            <w:tcBorders>
              <w:top w:val="nil"/>
              <w:left w:val="nil"/>
              <w:bottom w:val="single" w:sz="8" w:space="0" w:color="000000"/>
              <w:right w:val="single" w:sz="8" w:space="0" w:color="000000"/>
            </w:tcBorders>
            <w:vAlign w:val="center"/>
          </w:tcPr>
          <w:p w14:paraId="71343FF6" w14:textId="390021E9" w:rsidR="00B27202" w:rsidRPr="00B27202" w:rsidRDefault="00B27202" w:rsidP="00B27202">
            <w:pPr>
              <w:jc w:val="right"/>
              <w:rPr>
                <w:rFonts w:cstheme="minorHAnsi"/>
                <w:highlight w:val="yellow"/>
              </w:rPr>
            </w:pPr>
            <w:r w:rsidRPr="00B27202">
              <w:rPr>
                <w:rFonts w:cstheme="minorHAnsi"/>
                <w:color w:val="000000"/>
                <w:szCs w:val="20"/>
              </w:rPr>
              <w:t>6.482.7</w:t>
            </w:r>
            <w:r w:rsidR="006267AD">
              <w:rPr>
                <w:rFonts w:cstheme="minorHAnsi"/>
                <w:color w:val="000000"/>
                <w:szCs w:val="20"/>
              </w:rPr>
              <w:t>69</w:t>
            </w:r>
          </w:p>
        </w:tc>
        <w:tc>
          <w:tcPr>
            <w:tcW w:w="1687" w:type="dxa"/>
            <w:tcBorders>
              <w:top w:val="nil"/>
              <w:left w:val="nil"/>
              <w:bottom w:val="single" w:sz="8" w:space="0" w:color="000000"/>
              <w:right w:val="single" w:sz="8" w:space="0" w:color="000000"/>
            </w:tcBorders>
            <w:vAlign w:val="center"/>
          </w:tcPr>
          <w:p w14:paraId="7C86BF4B" w14:textId="0B9E984A"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648.27</w:t>
            </w:r>
            <w:r w:rsidR="006267AD">
              <w:rPr>
                <w:rFonts w:cstheme="minorHAnsi"/>
                <w:color w:val="000000"/>
                <w:szCs w:val="20"/>
              </w:rPr>
              <w:t>6.899</w:t>
            </w:r>
          </w:p>
        </w:tc>
        <w:tc>
          <w:tcPr>
            <w:tcW w:w="1354" w:type="dxa"/>
            <w:tcBorders>
              <w:top w:val="nil"/>
              <w:left w:val="nil"/>
              <w:bottom w:val="single" w:sz="8" w:space="0" w:color="000000"/>
              <w:right w:val="single" w:sz="8" w:space="0" w:color="000000"/>
            </w:tcBorders>
            <w:vAlign w:val="center"/>
          </w:tcPr>
          <w:p w14:paraId="5865950F" w14:textId="28591CEC"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0,93</w:t>
            </w:r>
          </w:p>
        </w:tc>
        <w:tc>
          <w:tcPr>
            <w:tcW w:w="1140" w:type="dxa"/>
            <w:tcBorders>
              <w:top w:val="nil"/>
              <w:left w:val="nil"/>
              <w:bottom w:val="single" w:sz="8" w:space="0" w:color="000000"/>
              <w:right w:val="single" w:sz="8" w:space="0" w:color="000000"/>
            </w:tcBorders>
            <w:vAlign w:val="center"/>
          </w:tcPr>
          <w:p w14:paraId="4C14412E" w14:textId="7CA81046"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0,93</w:t>
            </w:r>
          </w:p>
        </w:tc>
      </w:tr>
      <w:tr w:rsidR="00B27202" w:rsidRPr="00A02C29" w14:paraId="4E37F067" w14:textId="77777777" w:rsidTr="00B27202">
        <w:trPr>
          <w:trHeight w:val="265"/>
        </w:trPr>
        <w:tc>
          <w:tcPr>
            <w:tcW w:w="3375" w:type="dxa"/>
            <w:shd w:val="clear" w:color="auto" w:fill="auto"/>
          </w:tcPr>
          <w:p w14:paraId="114300EB" w14:textId="7C61B60C" w:rsidR="00B27202" w:rsidRPr="00B27202" w:rsidRDefault="00B27202" w:rsidP="00B27202">
            <w:pPr>
              <w:tabs>
                <w:tab w:val="left" w:pos="-1440"/>
                <w:tab w:val="left" w:pos="-720"/>
                <w:tab w:val="left" w:pos="-38"/>
              </w:tabs>
              <w:suppressAutoHyphens/>
              <w:ind w:right="22"/>
              <w:jc w:val="both"/>
              <w:rPr>
                <w:rFonts w:cstheme="minorHAnsi"/>
                <w:spacing w:val="-3"/>
              </w:rPr>
            </w:pPr>
            <w:r w:rsidRPr="00B27202">
              <w:rPr>
                <w:rFonts w:cstheme="minorHAnsi"/>
                <w:spacing w:val="-3"/>
              </w:rPr>
              <w:t>Halka Açık</w:t>
            </w:r>
          </w:p>
        </w:tc>
        <w:tc>
          <w:tcPr>
            <w:tcW w:w="1687" w:type="dxa"/>
            <w:tcBorders>
              <w:top w:val="nil"/>
              <w:left w:val="nil"/>
              <w:bottom w:val="single" w:sz="8" w:space="0" w:color="000000"/>
              <w:right w:val="single" w:sz="8" w:space="0" w:color="000000"/>
            </w:tcBorders>
            <w:vAlign w:val="center"/>
          </w:tcPr>
          <w:p w14:paraId="528701B3" w14:textId="67DEEA3D" w:rsidR="00B27202" w:rsidRPr="00B27202" w:rsidRDefault="00B27202" w:rsidP="00B27202">
            <w:pPr>
              <w:jc w:val="right"/>
              <w:rPr>
                <w:rFonts w:cstheme="minorHAnsi"/>
                <w:highlight w:val="yellow"/>
              </w:rPr>
            </w:pPr>
            <w:r w:rsidRPr="00B27202">
              <w:rPr>
                <w:rFonts w:cstheme="minorHAnsi"/>
                <w:color w:val="000000"/>
                <w:szCs w:val="20"/>
              </w:rPr>
              <w:t>27</w:t>
            </w:r>
            <w:r w:rsidR="006267AD">
              <w:rPr>
                <w:rFonts w:cstheme="minorHAnsi"/>
                <w:color w:val="000000"/>
                <w:szCs w:val="20"/>
              </w:rPr>
              <w:t>1.738.196</w:t>
            </w:r>
          </w:p>
        </w:tc>
        <w:tc>
          <w:tcPr>
            <w:tcW w:w="1687" w:type="dxa"/>
            <w:tcBorders>
              <w:top w:val="nil"/>
              <w:left w:val="nil"/>
              <w:bottom w:val="single" w:sz="8" w:space="0" w:color="000000"/>
              <w:right w:val="single" w:sz="8" w:space="0" w:color="000000"/>
            </w:tcBorders>
            <w:vAlign w:val="center"/>
          </w:tcPr>
          <w:p w14:paraId="20591110" w14:textId="1D820C5C" w:rsidR="00B27202" w:rsidRPr="00B27202" w:rsidRDefault="006267AD" w:rsidP="00B27202">
            <w:pPr>
              <w:jc w:val="right"/>
              <w:rPr>
                <w:rFonts w:cstheme="minorHAnsi"/>
                <w:highlight w:val="yellow"/>
              </w:rPr>
            </w:pPr>
            <w:r w:rsidRPr="00B27202">
              <w:rPr>
                <w:rFonts w:cstheme="minorHAnsi"/>
                <w:color w:val="000000"/>
                <w:szCs w:val="20"/>
              </w:rPr>
              <w:t>27</w:t>
            </w:r>
            <w:r>
              <w:rPr>
                <w:rFonts w:cstheme="minorHAnsi"/>
                <w:color w:val="000000"/>
                <w:szCs w:val="20"/>
              </w:rPr>
              <w:t>.173.819.599</w:t>
            </w:r>
          </w:p>
        </w:tc>
        <w:tc>
          <w:tcPr>
            <w:tcW w:w="1354" w:type="dxa"/>
            <w:tcBorders>
              <w:top w:val="nil"/>
              <w:left w:val="nil"/>
              <w:bottom w:val="single" w:sz="8" w:space="0" w:color="000000"/>
              <w:right w:val="single" w:sz="8" w:space="0" w:color="000000"/>
            </w:tcBorders>
            <w:vAlign w:val="center"/>
          </w:tcPr>
          <w:p w14:paraId="13F04EE8" w14:textId="2814D01A"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39,</w:t>
            </w:r>
            <w:r w:rsidR="006267AD">
              <w:rPr>
                <w:rFonts w:cstheme="minorHAnsi"/>
                <w:color w:val="000000"/>
                <w:szCs w:val="20"/>
              </w:rPr>
              <w:t>09</w:t>
            </w:r>
          </w:p>
        </w:tc>
        <w:tc>
          <w:tcPr>
            <w:tcW w:w="1140" w:type="dxa"/>
            <w:tcBorders>
              <w:top w:val="nil"/>
              <w:left w:val="nil"/>
              <w:bottom w:val="single" w:sz="8" w:space="0" w:color="000000"/>
              <w:right w:val="single" w:sz="8" w:space="0" w:color="000000"/>
            </w:tcBorders>
            <w:vAlign w:val="center"/>
          </w:tcPr>
          <w:p w14:paraId="050FE7B0" w14:textId="4C862580" w:rsidR="00B27202" w:rsidRPr="00B27202" w:rsidRDefault="00B27202" w:rsidP="00B27202">
            <w:pPr>
              <w:suppressAutoHyphens/>
              <w:ind w:right="22"/>
              <w:jc w:val="right"/>
              <w:rPr>
                <w:rFonts w:cstheme="minorHAnsi"/>
                <w:spacing w:val="-3"/>
                <w:highlight w:val="yellow"/>
              </w:rPr>
            </w:pPr>
            <w:r w:rsidRPr="00B27202">
              <w:rPr>
                <w:rFonts w:cstheme="minorHAnsi"/>
                <w:color w:val="000000"/>
                <w:szCs w:val="20"/>
              </w:rPr>
              <w:t>39,</w:t>
            </w:r>
            <w:r w:rsidR="006267AD">
              <w:rPr>
                <w:rFonts w:cstheme="minorHAnsi"/>
                <w:color w:val="000000"/>
                <w:szCs w:val="20"/>
              </w:rPr>
              <w:t>09</w:t>
            </w:r>
          </w:p>
        </w:tc>
      </w:tr>
      <w:tr w:rsidR="00B27202" w:rsidRPr="00A02C29" w14:paraId="79310D9A" w14:textId="77777777" w:rsidTr="00B27202">
        <w:trPr>
          <w:trHeight w:val="265"/>
        </w:trPr>
        <w:tc>
          <w:tcPr>
            <w:tcW w:w="3375" w:type="dxa"/>
            <w:shd w:val="clear" w:color="auto" w:fill="auto"/>
          </w:tcPr>
          <w:p w14:paraId="530E725D" w14:textId="77777777" w:rsidR="00B27202" w:rsidRPr="00B27202" w:rsidRDefault="00B27202" w:rsidP="00B27202">
            <w:pPr>
              <w:tabs>
                <w:tab w:val="left" w:pos="-1440"/>
                <w:tab w:val="left" w:pos="-720"/>
                <w:tab w:val="left" w:pos="-38"/>
              </w:tabs>
              <w:suppressAutoHyphens/>
              <w:ind w:right="22"/>
              <w:jc w:val="both"/>
              <w:rPr>
                <w:rFonts w:cstheme="minorHAnsi"/>
                <w:b/>
                <w:spacing w:val="-3"/>
              </w:rPr>
            </w:pPr>
            <w:r w:rsidRPr="00B27202">
              <w:rPr>
                <w:rFonts w:cstheme="minorHAnsi"/>
                <w:b/>
                <w:spacing w:val="-3"/>
              </w:rPr>
              <w:t>TOPLAM</w:t>
            </w:r>
          </w:p>
        </w:tc>
        <w:tc>
          <w:tcPr>
            <w:tcW w:w="1687" w:type="dxa"/>
            <w:tcBorders>
              <w:top w:val="nil"/>
              <w:left w:val="nil"/>
              <w:bottom w:val="single" w:sz="8" w:space="0" w:color="000000"/>
              <w:right w:val="single" w:sz="8" w:space="0" w:color="000000"/>
            </w:tcBorders>
            <w:vAlign w:val="center"/>
          </w:tcPr>
          <w:p w14:paraId="6C46368B" w14:textId="1554F99C" w:rsidR="00B27202" w:rsidRPr="00B27202" w:rsidRDefault="00B27202" w:rsidP="00B27202">
            <w:pPr>
              <w:jc w:val="right"/>
              <w:rPr>
                <w:rFonts w:eastAsia="Times New Roman" w:cstheme="minorHAnsi"/>
                <w:b/>
                <w:szCs w:val="20"/>
                <w:highlight w:val="yellow"/>
              </w:rPr>
            </w:pPr>
            <w:r w:rsidRPr="00B27202">
              <w:rPr>
                <w:rFonts w:cstheme="minorHAnsi"/>
                <w:b/>
                <w:bCs/>
                <w:color w:val="000000"/>
                <w:szCs w:val="20"/>
              </w:rPr>
              <w:t>695.302.645</w:t>
            </w:r>
          </w:p>
        </w:tc>
        <w:tc>
          <w:tcPr>
            <w:tcW w:w="1687" w:type="dxa"/>
            <w:tcBorders>
              <w:top w:val="nil"/>
              <w:left w:val="nil"/>
              <w:bottom w:val="single" w:sz="8" w:space="0" w:color="000000"/>
              <w:right w:val="single" w:sz="8" w:space="0" w:color="000000"/>
            </w:tcBorders>
            <w:vAlign w:val="center"/>
          </w:tcPr>
          <w:p w14:paraId="5CA76DC0" w14:textId="18B19A70" w:rsidR="00B27202" w:rsidRPr="00B27202" w:rsidRDefault="00B27202" w:rsidP="00B27202">
            <w:pPr>
              <w:suppressAutoHyphens/>
              <w:ind w:right="22" w:hanging="62"/>
              <w:jc w:val="right"/>
              <w:rPr>
                <w:rFonts w:eastAsia="Times New Roman" w:cstheme="minorHAnsi"/>
                <w:b/>
                <w:spacing w:val="-3"/>
                <w:szCs w:val="20"/>
                <w:highlight w:val="yellow"/>
              </w:rPr>
            </w:pPr>
            <w:r w:rsidRPr="00B27202">
              <w:rPr>
                <w:rFonts w:cstheme="minorHAnsi"/>
                <w:b/>
                <w:bCs/>
                <w:color w:val="000000"/>
                <w:szCs w:val="20"/>
              </w:rPr>
              <w:t>69.530.264.500</w:t>
            </w:r>
          </w:p>
        </w:tc>
        <w:tc>
          <w:tcPr>
            <w:tcW w:w="1354" w:type="dxa"/>
            <w:tcBorders>
              <w:top w:val="nil"/>
              <w:left w:val="nil"/>
              <w:bottom w:val="single" w:sz="8" w:space="0" w:color="000000"/>
              <w:right w:val="single" w:sz="8" w:space="0" w:color="000000"/>
            </w:tcBorders>
            <w:vAlign w:val="center"/>
          </w:tcPr>
          <w:p w14:paraId="1E2A5750" w14:textId="41A4E145" w:rsidR="00B27202" w:rsidRPr="00B27202" w:rsidRDefault="00B27202" w:rsidP="00B27202">
            <w:pPr>
              <w:suppressAutoHyphens/>
              <w:ind w:right="22" w:hanging="62"/>
              <w:jc w:val="right"/>
              <w:rPr>
                <w:rFonts w:cstheme="minorHAnsi"/>
                <w:b/>
                <w:spacing w:val="-3"/>
                <w:highlight w:val="yellow"/>
              </w:rPr>
            </w:pPr>
            <w:r w:rsidRPr="00B27202">
              <w:rPr>
                <w:rFonts w:cstheme="minorHAnsi"/>
                <w:b/>
                <w:bCs/>
                <w:color w:val="000000"/>
                <w:szCs w:val="20"/>
              </w:rPr>
              <w:t>100</w:t>
            </w:r>
          </w:p>
        </w:tc>
        <w:tc>
          <w:tcPr>
            <w:tcW w:w="1140" w:type="dxa"/>
            <w:tcBorders>
              <w:top w:val="nil"/>
              <w:left w:val="nil"/>
              <w:bottom w:val="single" w:sz="8" w:space="0" w:color="000000"/>
              <w:right w:val="single" w:sz="8" w:space="0" w:color="000000"/>
            </w:tcBorders>
            <w:vAlign w:val="center"/>
          </w:tcPr>
          <w:p w14:paraId="59645581" w14:textId="05D24007" w:rsidR="00B27202" w:rsidRPr="00B27202" w:rsidRDefault="00B27202" w:rsidP="00B27202">
            <w:pPr>
              <w:suppressAutoHyphens/>
              <w:ind w:right="22" w:hanging="62"/>
              <w:jc w:val="right"/>
              <w:rPr>
                <w:rFonts w:cstheme="minorHAnsi"/>
                <w:b/>
                <w:spacing w:val="-3"/>
                <w:highlight w:val="yellow"/>
              </w:rPr>
            </w:pPr>
            <w:r w:rsidRPr="00B27202">
              <w:rPr>
                <w:rFonts w:cstheme="minorHAnsi"/>
                <w:b/>
                <w:bCs/>
                <w:color w:val="000000"/>
                <w:szCs w:val="20"/>
              </w:rPr>
              <w:t>100</w:t>
            </w:r>
          </w:p>
        </w:tc>
      </w:tr>
    </w:tbl>
    <w:p w14:paraId="69E3C1AE" w14:textId="77777777" w:rsidR="00A02C29" w:rsidRPr="00A02C29" w:rsidRDefault="00A02C29" w:rsidP="00A02C29">
      <w:pPr>
        <w:rPr>
          <w:rStyle w:val="Gl"/>
          <w:rFonts w:asciiTheme="minorHAnsi" w:hAnsiTheme="minorHAnsi" w:cstheme="minorHAnsi"/>
          <w:sz w:val="22"/>
          <w:szCs w:val="22"/>
          <w:lang w:eastAsia="tr-TR"/>
        </w:rPr>
      </w:pPr>
    </w:p>
    <w:p w14:paraId="618A3069" w14:textId="702F4151" w:rsidR="00A02C29" w:rsidRPr="00A02C29" w:rsidRDefault="00A02C29" w:rsidP="00FB3C42">
      <w:pPr>
        <w:tabs>
          <w:tab w:val="left" w:pos="9356"/>
          <w:tab w:val="left" w:pos="9639"/>
        </w:tabs>
        <w:ind w:right="22"/>
        <w:jc w:val="both"/>
        <w:rPr>
          <w:rFonts w:asciiTheme="minorHAnsi" w:hAnsiTheme="minorHAnsi" w:cstheme="minorHAnsi"/>
          <w:sz w:val="22"/>
          <w:szCs w:val="22"/>
        </w:rPr>
      </w:pPr>
      <w:r w:rsidRPr="00A02C29">
        <w:rPr>
          <w:rFonts w:asciiTheme="minorHAnsi" w:hAnsiTheme="minorHAnsi" w:cstheme="minorHAnsi"/>
          <w:sz w:val="22"/>
          <w:szCs w:val="22"/>
        </w:rPr>
        <w:t xml:space="preserve">Şirketimizin sermayesi </w:t>
      </w:r>
      <w:r w:rsidR="00C17BA3">
        <w:rPr>
          <w:rFonts w:asciiTheme="minorHAnsi" w:hAnsiTheme="minorHAnsi" w:cstheme="minorHAnsi"/>
          <w:sz w:val="22"/>
          <w:szCs w:val="22"/>
        </w:rPr>
        <w:t>6</w:t>
      </w:r>
      <w:r w:rsidR="00BB375F">
        <w:rPr>
          <w:rFonts w:asciiTheme="minorHAnsi" w:hAnsiTheme="minorHAnsi" w:cstheme="minorHAnsi"/>
          <w:sz w:val="22"/>
          <w:szCs w:val="22"/>
        </w:rPr>
        <w:t>9</w:t>
      </w:r>
      <w:r w:rsidR="00B871E0">
        <w:rPr>
          <w:rFonts w:asciiTheme="minorHAnsi" w:hAnsiTheme="minorHAnsi" w:cstheme="minorHAnsi"/>
          <w:sz w:val="22"/>
          <w:szCs w:val="22"/>
        </w:rPr>
        <w:t>5</w:t>
      </w:r>
      <w:r w:rsidR="0027549A">
        <w:rPr>
          <w:rFonts w:asciiTheme="minorHAnsi" w:hAnsiTheme="minorHAnsi" w:cstheme="minorHAnsi"/>
          <w:sz w:val="22"/>
          <w:szCs w:val="22"/>
        </w:rPr>
        <w:t>.302.645</w:t>
      </w:r>
      <w:r w:rsidRPr="00A02C29">
        <w:rPr>
          <w:rFonts w:asciiTheme="minorHAnsi" w:hAnsiTheme="minorHAnsi" w:cstheme="minorHAnsi"/>
          <w:sz w:val="22"/>
          <w:szCs w:val="22"/>
        </w:rPr>
        <w:t xml:space="preserve"> TL olup, tamamı ödenmiş 1 Kuruş değerinde </w:t>
      </w:r>
      <w:r w:rsidR="00C17BA3">
        <w:rPr>
          <w:rFonts w:asciiTheme="minorHAnsi" w:hAnsiTheme="minorHAnsi" w:cstheme="minorHAnsi"/>
          <w:sz w:val="22"/>
          <w:szCs w:val="22"/>
        </w:rPr>
        <w:t>6</w:t>
      </w:r>
      <w:r w:rsidR="00BB375F">
        <w:rPr>
          <w:rFonts w:asciiTheme="minorHAnsi" w:hAnsiTheme="minorHAnsi" w:cstheme="minorHAnsi"/>
          <w:sz w:val="22"/>
          <w:szCs w:val="22"/>
        </w:rPr>
        <w:t>9.</w:t>
      </w:r>
      <w:r w:rsidR="00B871E0">
        <w:rPr>
          <w:rFonts w:asciiTheme="minorHAnsi" w:hAnsiTheme="minorHAnsi" w:cstheme="minorHAnsi"/>
          <w:sz w:val="22"/>
          <w:szCs w:val="22"/>
        </w:rPr>
        <w:t>5</w:t>
      </w:r>
      <w:r w:rsidR="0027549A">
        <w:rPr>
          <w:rFonts w:asciiTheme="minorHAnsi" w:hAnsiTheme="minorHAnsi" w:cstheme="minorHAnsi"/>
          <w:sz w:val="22"/>
          <w:szCs w:val="22"/>
        </w:rPr>
        <w:t>30.264.500</w:t>
      </w:r>
      <w:r w:rsidRPr="00A02C29">
        <w:rPr>
          <w:rFonts w:asciiTheme="minorHAnsi" w:hAnsiTheme="minorHAnsi" w:cstheme="minorHAnsi"/>
          <w:sz w:val="22"/>
          <w:szCs w:val="22"/>
        </w:rPr>
        <w:t xml:space="preserve"> adet paydan oluşmaktadır. Şirketimiz Ana Sözleşmesi’nin 8. </w:t>
      </w:r>
      <w:r w:rsidR="00225F2B">
        <w:rPr>
          <w:rFonts w:asciiTheme="minorHAnsi" w:hAnsiTheme="minorHAnsi" w:cstheme="minorHAnsi"/>
          <w:sz w:val="22"/>
          <w:szCs w:val="22"/>
        </w:rPr>
        <w:t>m</w:t>
      </w:r>
      <w:r w:rsidRPr="00A02C29">
        <w:rPr>
          <w:rFonts w:asciiTheme="minorHAnsi" w:hAnsiTheme="minorHAnsi" w:cstheme="minorHAnsi"/>
          <w:sz w:val="22"/>
          <w:szCs w:val="22"/>
        </w:rPr>
        <w:t>adde</w:t>
      </w:r>
      <w:r w:rsidR="00241545">
        <w:rPr>
          <w:rFonts w:asciiTheme="minorHAnsi" w:hAnsiTheme="minorHAnsi" w:cstheme="minorHAnsi"/>
          <w:sz w:val="22"/>
          <w:szCs w:val="22"/>
        </w:rPr>
        <w:t>s</w:t>
      </w:r>
      <w:r w:rsidRPr="00A02C29">
        <w:rPr>
          <w:rFonts w:asciiTheme="minorHAnsi" w:hAnsiTheme="minorHAnsi" w:cstheme="minorHAnsi"/>
          <w:sz w:val="22"/>
          <w:szCs w:val="22"/>
        </w:rPr>
        <w:t xml:space="preserve">ine göre </w:t>
      </w:r>
      <w:r w:rsidR="00247DA0" w:rsidRPr="00247DA0">
        <w:rPr>
          <w:rFonts w:asciiTheme="minorHAnsi" w:hAnsiTheme="minorHAnsi" w:cstheme="minorHAnsi"/>
          <w:sz w:val="22"/>
          <w:szCs w:val="22"/>
        </w:rPr>
        <w:t xml:space="preserve">Yönetim Kurulu üyeleri (A) </w:t>
      </w:r>
      <w:r w:rsidR="00247DA0">
        <w:rPr>
          <w:rFonts w:asciiTheme="minorHAnsi" w:hAnsiTheme="minorHAnsi" w:cstheme="minorHAnsi"/>
          <w:sz w:val="22"/>
          <w:szCs w:val="22"/>
        </w:rPr>
        <w:t>g</w:t>
      </w:r>
      <w:r w:rsidR="00247DA0" w:rsidRPr="00247DA0">
        <w:rPr>
          <w:rFonts w:asciiTheme="minorHAnsi" w:hAnsiTheme="minorHAnsi" w:cstheme="minorHAnsi"/>
          <w:sz w:val="22"/>
          <w:szCs w:val="22"/>
        </w:rPr>
        <w:t>rubu pay sahiplerinin göstereceği adaylar arasından seçilir.</w:t>
      </w:r>
      <w:r w:rsidR="00247DA0">
        <w:rPr>
          <w:rFonts w:asciiTheme="minorHAnsi" w:hAnsiTheme="minorHAnsi" w:cstheme="minorHAnsi"/>
          <w:sz w:val="22"/>
          <w:szCs w:val="22"/>
        </w:rPr>
        <w:t xml:space="preserve"> </w:t>
      </w:r>
      <w:r w:rsidRPr="00A02C29">
        <w:rPr>
          <w:rFonts w:asciiTheme="minorHAnsi" w:hAnsiTheme="minorHAnsi" w:cstheme="minorHAnsi"/>
          <w:sz w:val="22"/>
          <w:szCs w:val="22"/>
        </w:rPr>
        <w:t>Ayrıca Ana Sözleşme</w:t>
      </w:r>
      <w:r w:rsidR="00225F2B">
        <w:rPr>
          <w:rFonts w:asciiTheme="minorHAnsi" w:hAnsiTheme="minorHAnsi" w:cstheme="minorHAnsi"/>
          <w:sz w:val="22"/>
          <w:szCs w:val="22"/>
        </w:rPr>
        <w:t>’</w:t>
      </w:r>
      <w:r w:rsidRPr="00A02C29">
        <w:rPr>
          <w:rFonts w:asciiTheme="minorHAnsi" w:hAnsiTheme="minorHAnsi" w:cstheme="minorHAnsi"/>
          <w:sz w:val="22"/>
          <w:szCs w:val="22"/>
        </w:rPr>
        <w:t>nin 2</w:t>
      </w:r>
      <w:r w:rsidR="00241545">
        <w:rPr>
          <w:rFonts w:asciiTheme="minorHAnsi" w:hAnsiTheme="minorHAnsi" w:cstheme="minorHAnsi"/>
          <w:sz w:val="22"/>
          <w:szCs w:val="22"/>
        </w:rPr>
        <w:t>3</w:t>
      </w:r>
      <w:r w:rsidRPr="00A02C29">
        <w:rPr>
          <w:rFonts w:asciiTheme="minorHAnsi" w:hAnsiTheme="minorHAnsi" w:cstheme="minorHAnsi"/>
          <w:sz w:val="22"/>
          <w:szCs w:val="22"/>
        </w:rPr>
        <w:t xml:space="preserve">. </w:t>
      </w:r>
      <w:r w:rsidR="00225F2B">
        <w:rPr>
          <w:rFonts w:asciiTheme="minorHAnsi" w:hAnsiTheme="minorHAnsi" w:cstheme="minorHAnsi"/>
          <w:sz w:val="22"/>
          <w:szCs w:val="22"/>
        </w:rPr>
        <w:t>m</w:t>
      </w:r>
      <w:r w:rsidRPr="00A02C29">
        <w:rPr>
          <w:rFonts w:asciiTheme="minorHAnsi" w:hAnsiTheme="minorHAnsi" w:cstheme="minorHAnsi"/>
          <w:sz w:val="22"/>
          <w:szCs w:val="22"/>
        </w:rPr>
        <w:t xml:space="preserve">addesi uyarınca, Genel Kurullarda </w:t>
      </w:r>
      <w:r w:rsidR="00247DA0">
        <w:rPr>
          <w:rFonts w:asciiTheme="minorHAnsi" w:hAnsiTheme="minorHAnsi" w:cstheme="minorHAnsi"/>
          <w:sz w:val="22"/>
          <w:szCs w:val="22"/>
        </w:rPr>
        <w:t>A</w:t>
      </w:r>
      <w:r w:rsidRPr="00A02C29">
        <w:rPr>
          <w:rFonts w:asciiTheme="minorHAnsi" w:hAnsiTheme="minorHAnsi" w:cstheme="minorHAnsi"/>
          <w:sz w:val="22"/>
          <w:szCs w:val="22"/>
        </w:rPr>
        <w:t xml:space="preserve">na </w:t>
      </w:r>
      <w:proofErr w:type="spellStart"/>
      <w:r w:rsidR="00247DA0">
        <w:rPr>
          <w:rFonts w:asciiTheme="minorHAnsi" w:hAnsiTheme="minorHAnsi" w:cstheme="minorHAnsi"/>
          <w:sz w:val="22"/>
          <w:szCs w:val="22"/>
        </w:rPr>
        <w:t>S</w:t>
      </w:r>
      <w:r w:rsidRPr="00A02C29">
        <w:rPr>
          <w:rFonts w:asciiTheme="minorHAnsi" w:hAnsiTheme="minorHAnsi" w:cstheme="minorHAnsi"/>
          <w:sz w:val="22"/>
          <w:szCs w:val="22"/>
        </w:rPr>
        <w:t>özleşme</w:t>
      </w:r>
      <w:r w:rsidR="00247DA0">
        <w:rPr>
          <w:rFonts w:asciiTheme="minorHAnsi" w:hAnsiTheme="minorHAnsi" w:cstheme="minorHAnsi"/>
          <w:sz w:val="22"/>
          <w:szCs w:val="22"/>
        </w:rPr>
        <w:t>’</w:t>
      </w:r>
      <w:r w:rsidRPr="00A02C29">
        <w:rPr>
          <w:rFonts w:asciiTheme="minorHAnsi" w:hAnsiTheme="minorHAnsi" w:cstheme="minorHAnsi"/>
          <w:sz w:val="22"/>
          <w:szCs w:val="22"/>
        </w:rPr>
        <w:t>de</w:t>
      </w:r>
      <w:proofErr w:type="spellEnd"/>
      <w:r w:rsidRPr="00A02C29">
        <w:rPr>
          <w:rFonts w:asciiTheme="minorHAnsi" w:hAnsiTheme="minorHAnsi" w:cstheme="minorHAnsi"/>
          <w:sz w:val="22"/>
          <w:szCs w:val="22"/>
        </w:rPr>
        <w:t xml:space="preserve"> yapılacak bilumum değişiklikler için (A) grubu payları temsil eden hissedarların muvafakati şarttır. Şirketimizin </w:t>
      </w:r>
      <w:r w:rsidR="00B871E0">
        <w:rPr>
          <w:rFonts w:asciiTheme="minorHAnsi" w:hAnsiTheme="minorHAnsi" w:cstheme="minorHAnsi"/>
          <w:sz w:val="22"/>
          <w:szCs w:val="22"/>
        </w:rPr>
        <w:t>6</w:t>
      </w:r>
      <w:r w:rsidR="00BB375F">
        <w:rPr>
          <w:rFonts w:asciiTheme="minorHAnsi" w:hAnsiTheme="minorHAnsi" w:cstheme="minorHAnsi"/>
          <w:sz w:val="22"/>
          <w:szCs w:val="22"/>
        </w:rPr>
        <w:t>9</w:t>
      </w:r>
      <w:r w:rsidR="00B871E0">
        <w:rPr>
          <w:rFonts w:asciiTheme="minorHAnsi" w:hAnsiTheme="minorHAnsi" w:cstheme="minorHAnsi"/>
          <w:sz w:val="22"/>
          <w:szCs w:val="22"/>
        </w:rPr>
        <w:t>5</w:t>
      </w:r>
      <w:r w:rsidR="0027549A">
        <w:rPr>
          <w:rFonts w:asciiTheme="minorHAnsi" w:hAnsiTheme="minorHAnsi" w:cstheme="minorHAnsi"/>
          <w:sz w:val="22"/>
          <w:szCs w:val="22"/>
        </w:rPr>
        <w:t>.302.645</w:t>
      </w:r>
      <w:r w:rsidRPr="00A02C29">
        <w:rPr>
          <w:rFonts w:asciiTheme="minorHAnsi" w:hAnsiTheme="minorHAnsi" w:cstheme="minorHAnsi"/>
          <w:sz w:val="22"/>
          <w:szCs w:val="22"/>
        </w:rPr>
        <w:t xml:space="preserve"> TL olan ödenmiş sermayesinin, her biri </w:t>
      </w:r>
      <w:r w:rsidR="00BB375F">
        <w:rPr>
          <w:rFonts w:asciiTheme="minorHAnsi" w:hAnsiTheme="minorHAnsi" w:cstheme="minorHAnsi"/>
          <w:sz w:val="22"/>
          <w:szCs w:val="22"/>
        </w:rPr>
        <w:t>1</w:t>
      </w:r>
      <w:r w:rsidRPr="00A02C29">
        <w:rPr>
          <w:rFonts w:asciiTheme="minorHAnsi" w:hAnsiTheme="minorHAnsi" w:cstheme="minorHAnsi"/>
          <w:sz w:val="22"/>
          <w:szCs w:val="22"/>
        </w:rPr>
        <w:t xml:space="preserve"> oy hakkına sahip olan ve %</w:t>
      </w:r>
      <w:r w:rsidR="00BB375F">
        <w:rPr>
          <w:rFonts w:asciiTheme="minorHAnsi" w:hAnsiTheme="minorHAnsi" w:cstheme="minorHAnsi"/>
          <w:sz w:val="22"/>
          <w:szCs w:val="22"/>
        </w:rPr>
        <w:t>0,86</w:t>
      </w:r>
      <w:r w:rsidR="00261AAF">
        <w:rPr>
          <w:rFonts w:asciiTheme="minorHAnsi" w:hAnsiTheme="minorHAnsi" w:cstheme="minorHAnsi"/>
          <w:sz w:val="22"/>
          <w:szCs w:val="22"/>
        </w:rPr>
        <w:t>’</w:t>
      </w:r>
      <w:r w:rsidR="00BB375F">
        <w:rPr>
          <w:rFonts w:asciiTheme="minorHAnsi" w:hAnsiTheme="minorHAnsi" w:cstheme="minorHAnsi"/>
          <w:sz w:val="22"/>
          <w:szCs w:val="22"/>
        </w:rPr>
        <w:t>sını</w:t>
      </w:r>
      <w:r w:rsidR="00261AAF">
        <w:rPr>
          <w:rFonts w:asciiTheme="minorHAnsi" w:hAnsiTheme="minorHAnsi" w:cstheme="minorHAnsi"/>
          <w:sz w:val="22"/>
          <w:szCs w:val="22"/>
        </w:rPr>
        <w:t xml:space="preserve"> </w:t>
      </w:r>
      <w:r w:rsidRPr="00A02C29">
        <w:rPr>
          <w:rFonts w:asciiTheme="minorHAnsi" w:hAnsiTheme="minorHAnsi" w:cstheme="minorHAnsi"/>
          <w:sz w:val="22"/>
          <w:szCs w:val="22"/>
        </w:rPr>
        <w:t>temsil eden 600.000.000 adet A grubu imtiyazlı paylar, toplam oy hakkının %</w:t>
      </w:r>
      <w:r w:rsidR="00BB375F">
        <w:rPr>
          <w:rFonts w:asciiTheme="minorHAnsi" w:hAnsiTheme="minorHAnsi" w:cstheme="minorHAnsi"/>
          <w:sz w:val="22"/>
          <w:szCs w:val="22"/>
        </w:rPr>
        <w:t>0,86</w:t>
      </w:r>
      <w:r w:rsidRPr="00A02C29">
        <w:rPr>
          <w:rFonts w:asciiTheme="minorHAnsi" w:hAnsiTheme="minorHAnsi" w:cstheme="minorHAnsi"/>
          <w:sz w:val="22"/>
          <w:szCs w:val="22"/>
        </w:rPr>
        <w:t>’</w:t>
      </w:r>
      <w:r w:rsidR="00BB375F">
        <w:rPr>
          <w:rFonts w:asciiTheme="minorHAnsi" w:hAnsiTheme="minorHAnsi" w:cstheme="minorHAnsi"/>
          <w:sz w:val="22"/>
          <w:szCs w:val="22"/>
        </w:rPr>
        <w:t>sına</w:t>
      </w:r>
      <w:r w:rsidRPr="00A02C29">
        <w:rPr>
          <w:rFonts w:asciiTheme="minorHAnsi" w:hAnsiTheme="minorHAnsi" w:cstheme="minorHAnsi"/>
          <w:sz w:val="22"/>
          <w:szCs w:val="22"/>
        </w:rPr>
        <w:t xml:space="preserve"> sahiptir. A grubu hisselerin ortaklar bazında sahip oldukları hisse adetleri aşağıdaki gibidir: </w:t>
      </w:r>
    </w:p>
    <w:p w14:paraId="0D70242F" w14:textId="77777777" w:rsidR="00A02C29" w:rsidRPr="00A02C29" w:rsidRDefault="00A02C29" w:rsidP="00A02C29">
      <w:pPr>
        <w:tabs>
          <w:tab w:val="left" w:pos="5460"/>
        </w:tabs>
        <w:ind w:left="-142" w:right="22"/>
        <w:jc w:val="both"/>
        <w:rPr>
          <w:rFonts w:asciiTheme="minorHAnsi" w:hAnsiTheme="minorHAnsi" w:cstheme="minorHAnsi"/>
          <w:sz w:val="22"/>
          <w:szCs w:val="22"/>
        </w:rPr>
      </w:pPr>
    </w:p>
    <w:tbl>
      <w:tblPr>
        <w:tblStyle w:val="TabloKlavuzu"/>
        <w:tblW w:w="7173" w:type="dxa"/>
        <w:tblInd w:w="108" w:type="dxa"/>
        <w:tblLook w:val="04A0" w:firstRow="1" w:lastRow="0" w:firstColumn="1" w:lastColumn="0" w:noHBand="0" w:noVBand="1"/>
      </w:tblPr>
      <w:tblGrid>
        <w:gridCol w:w="3685"/>
        <w:gridCol w:w="1744"/>
        <w:gridCol w:w="1744"/>
      </w:tblGrid>
      <w:tr w:rsidR="00A02C29" w:rsidRPr="00A02C29" w14:paraId="77E49F22" w14:textId="77777777" w:rsidTr="00B075EA">
        <w:tc>
          <w:tcPr>
            <w:tcW w:w="3685" w:type="dxa"/>
          </w:tcPr>
          <w:p w14:paraId="2228D21A" w14:textId="77777777" w:rsidR="00A02C29" w:rsidRPr="00A02C29" w:rsidRDefault="00A02C29" w:rsidP="00B075EA">
            <w:pPr>
              <w:tabs>
                <w:tab w:val="left" w:pos="5460"/>
              </w:tabs>
              <w:ind w:right="22"/>
              <w:jc w:val="both"/>
              <w:rPr>
                <w:rFonts w:cstheme="minorHAnsi"/>
                <w:b/>
              </w:rPr>
            </w:pPr>
            <w:r w:rsidRPr="00A02C29">
              <w:rPr>
                <w:rFonts w:cstheme="minorHAnsi"/>
                <w:b/>
              </w:rPr>
              <w:t>A Grubu Pay Sahibi</w:t>
            </w:r>
          </w:p>
        </w:tc>
        <w:tc>
          <w:tcPr>
            <w:tcW w:w="1744" w:type="dxa"/>
          </w:tcPr>
          <w:p w14:paraId="1310FDAC" w14:textId="77777777" w:rsidR="00A02C29" w:rsidRPr="00A02C29" w:rsidRDefault="00A02C29" w:rsidP="00B075EA">
            <w:pPr>
              <w:tabs>
                <w:tab w:val="left" w:pos="5460"/>
              </w:tabs>
              <w:ind w:right="22"/>
              <w:jc w:val="center"/>
              <w:rPr>
                <w:rFonts w:cstheme="minorHAnsi"/>
                <w:b/>
              </w:rPr>
            </w:pPr>
            <w:r w:rsidRPr="00A02C29">
              <w:rPr>
                <w:rFonts w:cstheme="minorHAnsi"/>
                <w:b/>
              </w:rPr>
              <w:t>Hisse Adedi</w:t>
            </w:r>
          </w:p>
        </w:tc>
        <w:tc>
          <w:tcPr>
            <w:tcW w:w="1744" w:type="dxa"/>
          </w:tcPr>
          <w:p w14:paraId="0DE07B3E" w14:textId="77777777" w:rsidR="00A02C29" w:rsidRPr="00A02C29" w:rsidRDefault="00A02C29" w:rsidP="00B075EA">
            <w:pPr>
              <w:tabs>
                <w:tab w:val="left" w:pos="5460"/>
              </w:tabs>
              <w:ind w:right="22"/>
              <w:jc w:val="center"/>
              <w:rPr>
                <w:rFonts w:cstheme="minorHAnsi"/>
                <w:b/>
              </w:rPr>
            </w:pPr>
            <w:r w:rsidRPr="00A02C29">
              <w:rPr>
                <w:rFonts w:cstheme="minorHAnsi"/>
                <w:b/>
              </w:rPr>
              <w:t>Oy Hakkı (%)</w:t>
            </w:r>
          </w:p>
        </w:tc>
      </w:tr>
      <w:tr w:rsidR="00A02C29" w:rsidRPr="00A02C29" w14:paraId="47AB5253" w14:textId="77777777" w:rsidTr="00B075EA">
        <w:tc>
          <w:tcPr>
            <w:tcW w:w="3685" w:type="dxa"/>
          </w:tcPr>
          <w:p w14:paraId="18B9E29A" w14:textId="77777777" w:rsidR="00A02C29" w:rsidRPr="00A02C29" w:rsidRDefault="00A02C29" w:rsidP="00B075EA">
            <w:pPr>
              <w:tabs>
                <w:tab w:val="left" w:pos="-1440"/>
                <w:tab w:val="left" w:pos="-720"/>
                <w:tab w:val="left" w:pos="-38"/>
              </w:tabs>
              <w:suppressAutoHyphens/>
              <w:ind w:right="22"/>
              <w:jc w:val="both"/>
              <w:rPr>
                <w:rFonts w:cstheme="minorHAnsi"/>
                <w:spacing w:val="-3"/>
              </w:rPr>
            </w:pPr>
            <w:r w:rsidRPr="00A02C29">
              <w:rPr>
                <w:rFonts w:cstheme="minorHAnsi"/>
                <w:spacing w:val="-3"/>
              </w:rPr>
              <w:t>Türkiye İş Bankası A.Ş.</w:t>
            </w:r>
          </w:p>
        </w:tc>
        <w:tc>
          <w:tcPr>
            <w:tcW w:w="1744" w:type="dxa"/>
          </w:tcPr>
          <w:p w14:paraId="2E36DC2D" w14:textId="77777777" w:rsidR="00A02C29" w:rsidRPr="00A02C29" w:rsidRDefault="00A02C29" w:rsidP="00B075EA">
            <w:pPr>
              <w:pStyle w:val="GvdeMetni3"/>
              <w:ind w:right="72"/>
              <w:jc w:val="right"/>
              <w:rPr>
                <w:rFonts w:cstheme="minorHAnsi"/>
                <w:sz w:val="22"/>
                <w:szCs w:val="22"/>
              </w:rPr>
            </w:pPr>
            <w:r w:rsidRPr="00A02C29">
              <w:rPr>
                <w:rFonts w:cstheme="minorHAnsi"/>
                <w:sz w:val="22"/>
                <w:szCs w:val="22"/>
              </w:rPr>
              <w:t>300.000.000</w:t>
            </w:r>
          </w:p>
        </w:tc>
        <w:tc>
          <w:tcPr>
            <w:tcW w:w="1744" w:type="dxa"/>
          </w:tcPr>
          <w:p w14:paraId="09A986F6" w14:textId="77777777" w:rsidR="00A02C29" w:rsidRPr="00A02C29" w:rsidRDefault="004725FA" w:rsidP="00BB375F">
            <w:pPr>
              <w:pStyle w:val="GvdeMetni3"/>
              <w:ind w:right="72"/>
              <w:jc w:val="right"/>
              <w:rPr>
                <w:rFonts w:cstheme="minorHAnsi"/>
                <w:sz w:val="22"/>
                <w:szCs w:val="22"/>
              </w:rPr>
            </w:pPr>
            <w:r>
              <w:rPr>
                <w:rFonts w:cstheme="minorHAnsi"/>
                <w:sz w:val="22"/>
                <w:szCs w:val="22"/>
              </w:rPr>
              <w:t>0,</w:t>
            </w:r>
            <w:r w:rsidR="00BB375F">
              <w:rPr>
                <w:rFonts w:cstheme="minorHAnsi"/>
                <w:sz w:val="22"/>
                <w:szCs w:val="22"/>
              </w:rPr>
              <w:t>43</w:t>
            </w:r>
          </w:p>
        </w:tc>
      </w:tr>
      <w:tr w:rsidR="00A02C29" w:rsidRPr="00A02C29" w14:paraId="4BC640FB" w14:textId="77777777" w:rsidTr="00B075EA">
        <w:tc>
          <w:tcPr>
            <w:tcW w:w="3685" w:type="dxa"/>
          </w:tcPr>
          <w:p w14:paraId="12821485" w14:textId="4331CB4B" w:rsidR="00A02C29" w:rsidRPr="00A02C29" w:rsidRDefault="00225F2B" w:rsidP="00B075EA">
            <w:pPr>
              <w:tabs>
                <w:tab w:val="left" w:pos="-1440"/>
                <w:tab w:val="left" w:pos="-720"/>
                <w:tab w:val="left" w:pos="-38"/>
              </w:tabs>
              <w:suppressAutoHyphens/>
              <w:ind w:right="22"/>
              <w:jc w:val="both"/>
              <w:rPr>
                <w:rFonts w:cstheme="minorHAnsi"/>
                <w:spacing w:val="-3"/>
              </w:rPr>
            </w:pPr>
            <w:r w:rsidRPr="00225F2B">
              <w:rPr>
                <w:rFonts w:cstheme="minorHAnsi"/>
                <w:spacing w:val="-3"/>
              </w:rPr>
              <w:t>Türkiye Sınai Kalkınma Bankası A.Ş.</w:t>
            </w:r>
          </w:p>
        </w:tc>
        <w:tc>
          <w:tcPr>
            <w:tcW w:w="1744" w:type="dxa"/>
          </w:tcPr>
          <w:p w14:paraId="2359E80B" w14:textId="77777777" w:rsidR="00A02C29" w:rsidRPr="00A02C29" w:rsidRDefault="00A02C29" w:rsidP="00B075EA">
            <w:pPr>
              <w:pStyle w:val="GvdeMetni3"/>
              <w:ind w:left="-182" w:right="72"/>
              <w:jc w:val="right"/>
              <w:rPr>
                <w:rFonts w:cstheme="minorHAnsi"/>
                <w:sz w:val="22"/>
                <w:szCs w:val="22"/>
              </w:rPr>
            </w:pPr>
            <w:r w:rsidRPr="00A02C29">
              <w:rPr>
                <w:rFonts w:cstheme="minorHAnsi"/>
                <w:sz w:val="22"/>
                <w:szCs w:val="22"/>
              </w:rPr>
              <w:t>255.000.000</w:t>
            </w:r>
          </w:p>
        </w:tc>
        <w:tc>
          <w:tcPr>
            <w:tcW w:w="1744" w:type="dxa"/>
          </w:tcPr>
          <w:p w14:paraId="4B27AA8A" w14:textId="77777777" w:rsidR="00A02C29" w:rsidRPr="00A02C29" w:rsidRDefault="00A02C29" w:rsidP="00BB375F">
            <w:pPr>
              <w:pStyle w:val="GvdeMetni3"/>
              <w:ind w:left="-182" w:right="72"/>
              <w:jc w:val="right"/>
              <w:rPr>
                <w:rFonts w:cstheme="minorHAnsi"/>
                <w:sz w:val="22"/>
                <w:szCs w:val="22"/>
              </w:rPr>
            </w:pPr>
            <w:r w:rsidRPr="00A02C29">
              <w:rPr>
                <w:rFonts w:cstheme="minorHAnsi"/>
                <w:sz w:val="22"/>
                <w:szCs w:val="22"/>
              </w:rPr>
              <w:t>0,</w:t>
            </w:r>
            <w:r w:rsidR="00BB375F">
              <w:rPr>
                <w:rFonts w:cstheme="minorHAnsi"/>
                <w:sz w:val="22"/>
                <w:szCs w:val="22"/>
              </w:rPr>
              <w:t>37</w:t>
            </w:r>
          </w:p>
        </w:tc>
      </w:tr>
      <w:tr w:rsidR="00A02C29" w:rsidRPr="00A02C29" w14:paraId="3D34EDB4" w14:textId="77777777" w:rsidTr="00B075EA">
        <w:tc>
          <w:tcPr>
            <w:tcW w:w="3685" w:type="dxa"/>
          </w:tcPr>
          <w:p w14:paraId="0FB7B6A7" w14:textId="77777777" w:rsidR="00A02C29" w:rsidRPr="00A02C29" w:rsidRDefault="00904856" w:rsidP="00B075EA">
            <w:pPr>
              <w:tabs>
                <w:tab w:val="left" w:pos="-1440"/>
                <w:tab w:val="left" w:pos="-720"/>
                <w:tab w:val="left" w:pos="-38"/>
              </w:tabs>
              <w:suppressAutoHyphens/>
              <w:ind w:right="22"/>
              <w:jc w:val="both"/>
              <w:rPr>
                <w:rFonts w:cstheme="minorHAnsi"/>
                <w:spacing w:val="-3"/>
              </w:rPr>
            </w:pPr>
            <w:r w:rsidRPr="00904856">
              <w:rPr>
                <w:rFonts w:cstheme="minorHAnsi"/>
                <w:spacing w:val="-3"/>
              </w:rPr>
              <w:t>Trakya Yatırım Holding A.Ş.</w:t>
            </w:r>
            <w:r w:rsidR="009D57B1">
              <w:rPr>
                <w:rFonts w:cstheme="minorHAnsi"/>
                <w:spacing w:val="-3"/>
              </w:rPr>
              <w:t xml:space="preserve"> </w:t>
            </w:r>
          </w:p>
        </w:tc>
        <w:tc>
          <w:tcPr>
            <w:tcW w:w="1744" w:type="dxa"/>
          </w:tcPr>
          <w:p w14:paraId="15E6D380" w14:textId="77777777" w:rsidR="00A02C29" w:rsidRPr="00A02C29" w:rsidRDefault="00DA3F54" w:rsidP="00580423">
            <w:pPr>
              <w:pStyle w:val="GvdeMetni3"/>
              <w:ind w:left="-182" w:right="72"/>
              <w:jc w:val="right"/>
              <w:rPr>
                <w:rFonts w:cstheme="minorHAnsi"/>
                <w:sz w:val="22"/>
                <w:szCs w:val="22"/>
              </w:rPr>
            </w:pPr>
            <w:r>
              <w:rPr>
                <w:rFonts w:cstheme="minorHAnsi"/>
                <w:sz w:val="22"/>
                <w:szCs w:val="22"/>
              </w:rPr>
              <w:t>45</w:t>
            </w:r>
            <w:r w:rsidR="00A02C29" w:rsidRPr="00A02C29">
              <w:rPr>
                <w:rFonts w:cstheme="minorHAnsi"/>
                <w:sz w:val="22"/>
                <w:szCs w:val="22"/>
              </w:rPr>
              <w:t>.</w:t>
            </w:r>
            <w:r>
              <w:rPr>
                <w:rFonts w:cstheme="minorHAnsi"/>
                <w:sz w:val="22"/>
                <w:szCs w:val="22"/>
              </w:rPr>
              <w:t>0</w:t>
            </w:r>
            <w:r w:rsidR="00A02C29" w:rsidRPr="00A02C29">
              <w:rPr>
                <w:rFonts w:cstheme="minorHAnsi"/>
                <w:sz w:val="22"/>
                <w:szCs w:val="22"/>
              </w:rPr>
              <w:t>00.000</w:t>
            </w:r>
          </w:p>
        </w:tc>
        <w:tc>
          <w:tcPr>
            <w:tcW w:w="1744" w:type="dxa"/>
          </w:tcPr>
          <w:p w14:paraId="534C9D21" w14:textId="77777777" w:rsidR="00A02C29" w:rsidRPr="00A02C29" w:rsidRDefault="00A02C29" w:rsidP="00B075EA">
            <w:pPr>
              <w:pStyle w:val="GvdeMetni3"/>
              <w:ind w:left="-182" w:right="72"/>
              <w:jc w:val="right"/>
              <w:rPr>
                <w:rFonts w:cstheme="minorHAnsi"/>
                <w:sz w:val="22"/>
                <w:szCs w:val="22"/>
              </w:rPr>
            </w:pPr>
            <w:r w:rsidRPr="00A02C29">
              <w:rPr>
                <w:rFonts w:cstheme="minorHAnsi"/>
                <w:sz w:val="22"/>
                <w:szCs w:val="22"/>
              </w:rPr>
              <w:t>0,0</w:t>
            </w:r>
            <w:r w:rsidR="00DA3F54">
              <w:rPr>
                <w:rFonts w:cstheme="minorHAnsi"/>
                <w:sz w:val="22"/>
                <w:szCs w:val="22"/>
              </w:rPr>
              <w:t>6</w:t>
            </w:r>
          </w:p>
        </w:tc>
      </w:tr>
      <w:tr w:rsidR="00A02C29" w:rsidRPr="00A02C29" w14:paraId="572EAA48" w14:textId="77777777" w:rsidTr="00B075EA">
        <w:tc>
          <w:tcPr>
            <w:tcW w:w="3685" w:type="dxa"/>
          </w:tcPr>
          <w:p w14:paraId="328FEFC1" w14:textId="77777777" w:rsidR="00A02C29" w:rsidRPr="00A02C29" w:rsidRDefault="00A02C29" w:rsidP="00B075EA">
            <w:pPr>
              <w:tabs>
                <w:tab w:val="left" w:pos="-1440"/>
                <w:tab w:val="left" w:pos="-720"/>
                <w:tab w:val="left" w:pos="-38"/>
              </w:tabs>
              <w:suppressAutoHyphens/>
              <w:ind w:right="22"/>
              <w:jc w:val="both"/>
              <w:rPr>
                <w:rFonts w:cstheme="minorHAnsi"/>
                <w:b/>
                <w:spacing w:val="-3"/>
              </w:rPr>
            </w:pPr>
            <w:r w:rsidRPr="00A02C29">
              <w:rPr>
                <w:rFonts w:cstheme="minorHAnsi"/>
                <w:b/>
                <w:spacing w:val="-3"/>
              </w:rPr>
              <w:t>TOPLAM</w:t>
            </w:r>
          </w:p>
        </w:tc>
        <w:tc>
          <w:tcPr>
            <w:tcW w:w="1744" w:type="dxa"/>
          </w:tcPr>
          <w:p w14:paraId="56ED7F07" w14:textId="77777777" w:rsidR="00A02C29" w:rsidRPr="00A02C29" w:rsidRDefault="00A02C29" w:rsidP="00B075EA">
            <w:pPr>
              <w:pStyle w:val="GvdeMetni3"/>
              <w:ind w:left="-182" w:right="72"/>
              <w:jc w:val="right"/>
              <w:rPr>
                <w:rFonts w:cstheme="minorHAnsi"/>
                <w:b/>
                <w:sz w:val="22"/>
                <w:szCs w:val="22"/>
              </w:rPr>
            </w:pPr>
            <w:r w:rsidRPr="00A02C29">
              <w:rPr>
                <w:rFonts w:cstheme="minorHAnsi"/>
                <w:b/>
                <w:sz w:val="22"/>
                <w:szCs w:val="22"/>
              </w:rPr>
              <w:t>600.000.000</w:t>
            </w:r>
          </w:p>
        </w:tc>
        <w:tc>
          <w:tcPr>
            <w:tcW w:w="1744" w:type="dxa"/>
          </w:tcPr>
          <w:p w14:paraId="702F070E" w14:textId="77777777" w:rsidR="00A02C29" w:rsidRPr="00A02C29" w:rsidRDefault="00BB375F" w:rsidP="00BB375F">
            <w:pPr>
              <w:pStyle w:val="GvdeMetni3"/>
              <w:ind w:left="-182" w:right="72"/>
              <w:jc w:val="right"/>
              <w:rPr>
                <w:rFonts w:cstheme="minorHAnsi"/>
                <w:b/>
                <w:sz w:val="22"/>
                <w:szCs w:val="22"/>
              </w:rPr>
            </w:pPr>
            <w:r>
              <w:rPr>
                <w:rFonts w:cstheme="minorHAnsi"/>
                <w:b/>
                <w:sz w:val="22"/>
                <w:szCs w:val="22"/>
              </w:rPr>
              <w:t>0</w:t>
            </w:r>
            <w:r w:rsidR="00A02C29" w:rsidRPr="00A02C29">
              <w:rPr>
                <w:rFonts w:cstheme="minorHAnsi"/>
                <w:b/>
                <w:sz w:val="22"/>
                <w:szCs w:val="22"/>
              </w:rPr>
              <w:t>,</w:t>
            </w:r>
            <w:r>
              <w:rPr>
                <w:rFonts w:cstheme="minorHAnsi"/>
                <w:b/>
                <w:sz w:val="22"/>
                <w:szCs w:val="22"/>
              </w:rPr>
              <w:t>86</w:t>
            </w:r>
          </w:p>
        </w:tc>
      </w:tr>
    </w:tbl>
    <w:p w14:paraId="34477249" w14:textId="77777777" w:rsidR="00A02C29" w:rsidRPr="00372884" w:rsidRDefault="00A02C29" w:rsidP="00A02C29">
      <w:pPr>
        <w:tabs>
          <w:tab w:val="left" w:pos="5460"/>
        </w:tabs>
        <w:ind w:left="567" w:right="22"/>
        <w:jc w:val="both"/>
        <w:rPr>
          <w:rFonts w:asciiTheme="minorHAnsi" w:hAnsiTheme="minorHAnsi" w:cstheme="minorHAnsi"/>
          <w:sz w:val="10"/>
          <w:szCs w:val="10"/>
        </w:rPr>
      </w:pPr>
    </w:p>
    <w:p w14:paraId="33F8241A" w14:textId="77777777" w:rsidR="003D3E62" w:rsidRDefault="003D3E62" w:rsidP="00A02C29">
      <w:pPr>
        <w:tabs>
          <w:tab w:val="left" w:pos="5460"/>
        </w:tabs>
        <w:ind w:right="22"/>
        <w:jc w:val="both"/>
        <w:rPr>
          <w:rFonts w:asciiTheme="minorHAnsi" w:hAnsiTheme="minorHAnsi" w:cstheme="minorHAnsi"/>
          <w:b/>
          <w:sz w:val="22"/>
          <w:szCs w:val="22"/>
        </w:rPr>
      </w:pPr>
    </w:p>
    <w:p w14:paraId="518DBB28" w14:textId="77777777" w:rsidR="00A02C29" w:rsidRDefault="00A02C29" w:rsidP="00A02C29">
      <w:pPr>
        <w:tabs>
          <w:tab w:val="left" w:pos="5460"/>
        </w:tabs>
        <w:ind w:right="22"/>
        <w:jc w:val="both"/>
        <w:rPr>
          <w:rFonts w:asciiTheme="minorHAnsi" w:hAnsiTheme="minorHAnsi" w:cstheme="minorHAnsi"/>
          <w:b/>
          <w:sz w:val="22"/>
          <w:szCs w:val="22"/>
        </w:rPr>
      </w:pPr>
      <w:r w:rsidRPr="00A02C29">
        <w:rPr>
          <w:rFonts w:asciiTheme="minorHAnsi" w:hAnsiTheme="minorHAnsi" w:cstheme="minorHAnsi"/>
          <w:b/>
          <w:sz w:val="22"/>
          <w:szCs w:val="22"/>
        </w:rPr>
        <w:t>Şirketimizin veya İştirak ve Bağlı Ortaklıklarımızın Şirket Faaliyetlerini Önemli Ölçüde Etkileyecek Yönetim ve Faaliyet Değişiklikleri Hakkında Bilgi:</w:t>
      </w:r>
    </w:p>
    <w:p w14:paraId="4551D2D6" w14:textId="77777777" w:rsidR="00B57ABF" w:rsidRPr="00A02C29" w:rsidRDefault="00B57ABF" w:rsidP="00A02C29">
      <w:pPr>
        <w:tabs>
          <w:tab w:val="left" w:pos="5460"/>
        </w:tabs>
        <w:ind w:right="22"/>
        <w:jc w:val="both"/>
        <w:rPr>
          <w:rFonts w:asciiTheme="minorHAnsi" w:hAnsiTheme="minorHAnsi" w:cstheme="minorHAnsi"/>
          <w:b/>
          <w:sz w:val="22"/>
          <w:szCs w:val="22"/>
        </w:rPr>
      </w:pPr>
    </w:p>
    <w:p w14:paraId="6F122565" w14:textId="00FB129E" w:rsidR="00A02C29" w:rsidRPr="00A02C29" w:rsidRDefault="00A02C29" w:rsidP="00A02C29">
      <w:pPr>
        <w:tabs>
          <w:tab w:val="left" w:pos="5460"/>
        </w:tabs>
        <w:ind w:right="22"/>
        <w:jc w:val="both"/>
        <w:rPr>
          <w:rFonts w:asciiTheme="minorHAnsi" w:hAnsiTheme="minorHAnsi" w:cstheme="minorHAnsi"/>
          <w:sz w:val="22"/>
          <w:szCs w:val="22"/>
        </w:rPr>
      </w:pPr>
      <w:r w:rsidRPr="00A02C29">
        <w:rPr>
          <w:rFonts w:asciiTheme="minorHAnsi" w:hAnsiTheme="minorHAnsi" w:cstheme="minorHAnsi"/>
          <w:sz w:val="22"/>
          <w:szCs w:val="22"/>
        </w:rPr>
        <w:t xml:space="preserve">Şirketimizin veya iştirak ve bağlı ortaklıklarımızın geçmiş hesap döneminde gerçekleşen veya gelecek hesap döneminde planladıkları, </w:t>
      </w:r>
      <w:r w:rsidR="00225F2B">
        <w:rPr>
          <w:rFonts w:asciiTheme="minorHAnsi" w:hAnsiTheme="minorHAnsi" w:cstheme="minorHAnsi"/>
          <w:sz w:val="22"/>
          <w:szCs w:val="22"/>
        </w:rPr>
        <w:t>Ş</w:t>
      </w:r>
      <w:r w:rsidRPr="00A02C29">
        <w:rPr>
          <w:rFonts w:asciiTheme="minorHAnsi" w:hAnsiTheme="minorHAnsi" w:cstheme="minorHAnsi"/>
          <w:sz w:val="22"/>
          <w:szCs w:val="22"/>
        </w:rPr>
        <w:t>irketimiz faaliyetlerini önemli ölçüde etkileyecek yönetim ve faaliyetlerinde bilgimiz dahilinde herhangi bir değişiklik bulunmamaktadır.</w:t>
      </w:r>
    </w:p>
    <w:p w14:paraId="263182BD" w14:textId="77777777" w:rsidR="00A02C29" w:rsidRPr="00A02C29" w:rsidRDefault="00A02C29" w:rsidP="00A02C29">
      <w:pPr>
        <w:tabs>
          <w:tab w:val="left" w:pos="5460"/>
        </w:tabs>
        <w:ind w:right="22"/>
        <w:jc w:val="both"/>
        <w:rPr>
          <w:rFonts w:asciiTheme="minorHAnsi" w:hAnsiTheme="minorHAnsi" w:cstheme="minorHAnsi"/>
          <w:sz w:val="22"/>
          <w:szCs w:val="22"/>
        </w:rPr>
      </w:pPr>
    </w:p>
    <w:p w14:paraId="547147A1" w14:textId="77777777" w:rsidR="00A02C29" w:rsidRDefault="00A02C29" w:rsidP="00A02C29">
      <w:pPr>
        <w:tabs>
          <w:tab w:val="left" w:pos="5460"/>
        </w:tabs>
        <w:ind w:right="22"/>
        <w:jc w:val="both"/>
        <w:rPr>
          <w:rFonts w:asciiTheme="minorHAnsi" w:hAnsiTheme="minorHAnsi" w:cstheme="minorHAnsi"/>
          <w:b/>
          <w:sz w:val="22"/>
          <w:szCs w:val="22"/>
        </w:rPr>
      </w:pPr>
      <w:r w:rsidRPr="00A02C29">
        <w:rPr>
          <w:rFonts w:asciiTheme="minorHAnsi" w:hAnsiTheme="minorHAnsi" w:cstheme="minorHAnsi"/>
          <w:b/>
          <w:sz w:val="22"/>
          <w:szCs w:val="22"/>
        </w:rPr>
        <w:t>Pay Sahiplerinin, Sermaye Piyasası Kurulu ve/veya Şirketimizin İlgili Olduğu Diğer Kamu Kurum ve Kuruluşlarının Gündeme Madde Konulmasına İlişkin Talepleri Hakkında Bilgi:</w:t>
      </w:r>
    </w:p>
    <w:p w14:paraId="18D5C375" w14:textId="77777777" w:rsidR="00B57ABF" w:rsidRPr="00A02C29" w:rsidRDefault="00B57ABF" w:rsidP="00A02C29">
      <w:pPr>
        <w:tabs>
          <w:tab w:val="left" w:pos="5460"/>
        </w:tabs>
        <w:ind w:right="22"/>
        <w:jc w:val="both"/>
        <w:rPr>
          <w:rFonts w:asciiTheme="minorHAnsi" w:hAnsiTheme="minorHAnsi" w:cstheme="minorHAnsi"/>
          <w:b/>
          <w:sz w:val="22"/>
          <w:szCs w:val="22"/>
        </w:rPr>
      </w:pPr>
    </w:p>
    <w:p w14:paraId="5BB81C6B" w14:textId="30E9B8B1" w:rsidR="00A02C29" w:rsidRPr="00A02C29" w:rsidRDefault="00A02C29" w:rsidP="00A02C29">
      <w:pPr>
        <w:tabs>
          <w:tab w:val="left" w:pos="5460"/>
        </w:tabs>
        <w:ind w:right="22"/>
        <w:jc w:val="both"/>
        <w:rPr>
          <w:rFonts w:asciiTheme="minorHAnsi" w:hAnsiTheme="minorHAnsi" w:cstheme="minorHAnsi"/>
          <w:sz w:val="22"/>
          <w:szCs w:val="22"/>
        </w:rPr>
      </w:pPr>
      <w:r w:rsidRPr="00E66F82">
        <w:rPr>
          <w:rFonts w:asciiTheme="minorHAnsi" w:hAnsiTheme="minorHAnsi" w:cstheme="minorHAnsi"/>
          <w:sz w:val="22"/>
          <w:szCs w:val="22"/>
        </w:rPr>
        <w:t>20</w:t>
      </w:r>
      <w:r w:rsidR="00361623" w:rsidRPr="00E66F82">
        <w:rPr>
          <w:rFonts w:asciiTheme="minorHAnsi" w:hAnsiTheme="minorHAnsi" w:cstheme="minorHAnsi"/>
          <w:sz w:val="22"/>
          <w:szCs w:val="22"/>
        </w:rPr>
        <w:t>2</w:t>
      </w:r>
      <w:r w:rsidR="006267AD">
        <w:rPr>
          <w:rFonts w:asciiTheme="minorHAnsi" w:hAnsiTheme="minorHAnsi" w:cstheme="minorHAnsi"/>
          <w:sz w:val="22"/>
          <w:szCs w:val="22"/>
        </w:rPr>
        <w:t>5</w:t>
      </w:r>
      <w:r w:rsidRPr="00E66F82">
        <w:rPr>
          <w:rFonts w:asciiTheme="minorHAnsi" w:hAnsiTheme="minorHAnsi" w:cstheme="minorHAnsi"/>
          <w:sz w:val="22"/>
          <w:szCs w:val="22"/>
        </w:rPr>
        <w:t xml:space="preserve"> yılı faaliyetlerinin görüşüleceği Olağan Genel Kurul </w:t>
      </w:r>
      <w:r w:rsidR="00225F2B" w:rsidRPr="00E66F82">
        <w:rPr>
          <w:rFonts w:asciiTheme="minorHAnsi" w:hAnsiTheme="minorHAnsi" w:cstheme="minorHAnsi"/>
          <w:sz w:val="22"/>
          <w:szCs w:val="22"/>
        </w:rPr>
        <w:t>T</w:t>
      </w:r>
      <w:r w:rsidRPr="00E66F82">
        <w:rPr>
          <w:rFonts w:asciiTheme="minorHAnsi" w:hAnsiTheme="minorHAnsi" w:cstheme="minorHAnsi"/>
          <w:sz w:val="22"/>
          <w:szCs w:val="22"/>
        </w:rPr>
        <w:t xml:space="preserve">oplantısı için pay sahiplerinden, Sermaye Piyasası Kurulu ve/veya </w:t>
      </w:r>
      <w:r w:rsidR="001F334A">
        <w:rPr>
          <w:rFonts w:asciiTheme="minorHAnsi" w:hAnsiTheme="minorHAnsi" w:cstheme="minorHAnsi"/>
          <w:sz w:val="22"/>
          <w:szCs w:val="22"/>
        </w:rPr>
        <w:t>Ş</w:t>
      </w:r>
      <w:r w:rsidRPr="00E66F82">
        <w:rPr>
          <w:rFonts w:asciiTheme="minorHAnsi" w:hAnsiTheme="minorHAnsi" w:cstheme="minorHAnsi"/>
          <w:sz w:val="22"/>
          <w:szCs w:val="22"/>
        </w:rPr>
        <w:t>irketimizin ilgili olduğu diğer kamu kurum ve kuruluşlarından gündeme madde konulmasına ilişkin tarafımıza iletilen bir talep bulunmamaktadır.</w:t>
      </w:r>
    </w:p>
    <w:p w14:paraId="41272890" w14:textId="77777777" w:rsidR="00241545" w:rsidRDefault="00241545" w:rsidP="00A02C29">
      <w:pPr>
        <w:tabs>
          <w:tab w:val="left" w:pos="5460"/>
        </w:tabs>
        <w:ind w:right="22"/>
        <w:jc w:val="both"/>
        <w:rPr>
          <w:rFonts w:asciiTheme="minorHAnsi" w:hAnsiTheme="minorHAnsi" w:cstheme="minorHAnsi"/>
          <w:sz w:val="22"/>
          <w:szCs w:val="22"/>
        </w:rPr>
      </w:pPr>
    </w:p>
    <w:p w14:paraId="164BE12D" w14:textId="77777777" w:rsidR="006F2BF1" w:rsidRDefault="00A02C29" w:rsidP="00372884">
      <w:pPr>
        <w:tabs>
          <w:tab w:val="left" w:pos="4253"/>
        </w:tabs>
        <w:ind w:left="4395" w:right="22" w:hanging="4395"/>
        <w:jc w:val="both"/>
        <w:rPr>
          <w:rFonts w:asciiTheme="minorHAnsi" w:hAnsiTheme="minorHAnsi" w:cstheme="minorHAnsi"/>
          <w:sz w:val="22"/>
          <w:szCs w:val="22"/>
        </w:rPr>
      </w:pPr>
      <w:r w:rsidRPr="00A02C29">
        <w:rPr>
          <w:rFonts w:asciiTheme="minorHAnsi" w:hAnsiTheme="minorHAnsi" w:cstheme="minorHAnsi"/>
          <w:b/>
          <w:sz w:val="22"/>
          <w:szCs w:val="22"/>
        </w:rPr>
        <w:t xml:space="preserve">Yönetim Kurulu </w:t>
      </w:r>
      <w:r w:rsidR="00241545">
        <w:rPr>
          <w:rFonts w:asciiTheme="minorHAnsi" w:hAnsiTheme="minorHAnsi" w:cstheme="minorHAnsi"/>
          <w:b/>
          <w:sz w:val="22"/>
          <w:szCs w:val="22"/>
        </w:rPr>
        <w:t>Üye adayları belirlendiğinde adaylar hakkında bilgilendirme yapılacaktır.</w:t>
      </w:r>
    </w:p>
    <w:sectPr w:rsidR="006F2BF1" w:rsidSect="00265270">
      <w:pgSz w:w="11907" w:h="16840" w:code="9"/>
      <w:pgMar w:top="567" w:right="1559"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B668A" w14:textId="77777777" w:rsidR="006C69BB" w:rsidRDefault="006C69BB" w:rsidP="003237F4">
      <w:r>
        <w:separator/>
      </w:r>
    </w:p>
  </w:endnote>
  <w:endnote w:type="continuationSeparator" w:id="0">
    <w:p w14:paraId="7DC702EC" w14:textId="77777777" w:rsidR="006C69BB" w:rsidRDefault="006C69BB" w:rsidP="003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4617" w14:textId="77777777" w:rsidR="006C69BB" w:rsidRDefault="006C69BB" w:rsidP="003237F4">
      <w:r>
        <w:separator/>
      </w:r>
    </w:p>
  </w:footnote>
  <w:footnote w:type="continuationSeparator" w:id="0">
    <w:p w14:paraId="6C1AE702" w14:textId="77777777" w:rsidR="006C69BB" w:rsidRDefault="006C69BB" w:rsidP="0032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B41A" w14:textId="77777777" w:rsidR="006C69BB" w:rsidRPr="00D32A4D" w:rsidRDefault="006C69BB" w:rsidP="00D32A4D">
    <w:pPr>
      <w:pStyle w:val="stBilgi"/>
      <w:jc w:val="center"/>
      <w:rPr>
        <w:rFonts w:asciiTheme="minorHAnsi" w:hAnsiTheme="minorHAnsi" w:cstheme="minorHAns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9002" w14:textId="77777777" w:rsidR="006C69BB" w:rsidRDefault="006C69BB" w:rsidP="00D32A4D">
    <w:pPr>
      <w:pStyle w:val="stBilgi"/>
      <w:tabs>
        <w:tab w:val="clear" w:pos="4536"/>
        <w:tab w:val="clear" w:pos="9072"/>
        <w:tab w:val="left" w:pos="7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F29"/>
    <w:multiLevelType w:val="hybridMultilevel"/>
    <w:tmpl w:val="C23CF706"/>
    <w:lvl w:ilvl="0" w:tplc="EA04596C">
      <w:start w:val="12"/>
      <w:numFmt w:val="lowerLetter"/>
      <w:lvlText w:val="%1)"/>
      <w:lvlJc w:val="left"/>
      <w:pPr>
        <w:ind w:left="360" w:hanging="360"/>
      </w:pPr>
      <w:rPr>
        <w:rFonts w:ascii="Tahoma" w:hAnsi="Tahoma" w:cs="Tahoma" w:hint="default"/>
        <w:sz w:val="16"/>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E26E05"/>
    <w:multiLevelType w:val="hybridMultilevel"/>
    <w:tmpl w:val="10D06DB4"/>
    <w:lvl w:ilvl="0" w:tplc="270C7ED4">
      <w:start w:val="61"/>
      <w:numFmt w:val="lowerLetter"/>
      <w:lvlText w:val="%1)"/>
      <w:lvlJc w:val="left"/>
      <w:pPr>
        <w:ind w:left="1003"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3F2BC9"/>
    <w:multiLevelType w:val="hybridMultilevel"/>
    <w:tmpl w:val="D93C558C"/>
    <w:lvl w:ilvl="0" w:tplc="4C76CF3E">
      <w:start w:val="1"/>
      <w:numFmt w:val="lowerLetter"/>
      <w:lvlText w:val="%1)"/>
      <w:lvlJc w:val="left"/>
      <w:pPr>
        <w:ind w:left="1003"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724E38"/>
    <w:multiLevelType w:val="hybridMultilevel"/>
    <w:tmpl w:val="00E00FD0"/>
    <w:lvl w:ilvl="0" w:tplc="D7209D32">
      <w:start w:val="13"/>
      <w:numFmt w:val="lowerLetter"/>
      <w:lvlText w:val="%1)"/>
      <w:lvlJc w:val="left"/>
      <w:pPr>
        <w:ind w:left="100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BA3533"/>
    <w:multiLevelType w:val="hybridMultilevel"/>
    <w:tmpl w:val="EF4E3746"/>
    <w:lvl w:ilvl="0" w:tplc="0C965A14">
      <w:start w:val="13"/>
      <w:numFmt w:val="lowerLetter"/>
      <w:lvlText w:val="%1)"/>
      <w:lvlJc w:val="left"/>
      <w:pPr>
        <w:ind w:left="100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71E8F"/>
    <w:multiLevelType w:val="hybridMultilevel"/>
    <w:tmpl w:val="826015FE"/>
    <w:lvl w:ilvl="0" w:tplc="2EF019C0">
      <w:start w:val="10"/>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F04794"/>
    <w:multiLevelType w:val="hybridMultilevel"/>
    <w:tmpl w:val="64DCBCD4"/>
    <w:lvl w:ilvl="0" w:tplc="9B187694">
      <w:start w:val="15"/>
      <w:numFmt w:val="lowerLetter"/>
      <w:lvlText w:val="%1)"/>
      <w:lvlJc w:val="left"/>
      <w:pPr>
        <w:ind w:left="360" w:hanging="360"/>
      </w:pPr>
      <w:rPr>
        <w:rFonts w:ascii="Tahoma" w:hAnsi="Tahoma" w:cs="Tahoma" w:hint="default"/>
        <w:sz w:val="16"/>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E24553C"/>
    <w:multiLevelType w:val="hybridMultilevel"/>
    <w:tmpl w:val="48E01B3E"/>
    <w:lvl w:ilvl="0" w:tplc="96B8B056">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9A52A8"/>
    <w:multiLevelType w:val="hybridMultilevel"/>
    <w:tmpl w:val="6FE89030"/>
    <w:lvl w:ilvl="0" w:tplc="930EFF28">
      <w:start w:val="7"/>
      <w:numFmt w:val="lowerLetter"/>
      <w:lvlText w:val="%1)"/>
      <w:lvlJc w:val="left"/>
      <w:pPr>
        <w:ind w:left="1003"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F7295E"/>
    <w:multiLevelType w:val="hybridMultilevel"/>
    <w:tmpl w:val="BAF60290"/>
    <w:lvl w:ilvl="0" w:tplc="DE342928">
      <w:start w:val="3"/>
      <w:numFmt w:val="decimal"/>
      <w:lvlText w:val="%1."/>
      <w:lvlJc w:val="left"/>
      <w:pPr>
        <w:ind w:left="644"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DA6D98"/>
    <w:multiLevelType w:val="hybridMultilevel"/>
    <w:tmpl w:val="1744F5E6"/>
    <w:lvl w:ilvl="0" w:tplc="082E18D8">
      <w:start w:val="12"/>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9326ED"/>
    <w:multiLevelType w:val="hybridMultilevel"/>
    <w:tmpl w:val="7C6C99BC"/>
    <w:lvl w:ilvl="0" w:tplc="F4480F70">
      <w:start w:val="1"/>
      <w:numFmt w:val="decimal"/>
      <w:lvlText w:val="%1."/>
      <w:lvlJc w:val="left"/>
      <w:pPr>
        <w:ind w:left="720" w:hanging="360"/>
      </w:pPr>
      <w:rPr>
        <w:rFonts w:cs="Tahom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2477FC"/>
    <w:multiLevelType w:val="hybridMultilevel"/>
    <w:tmpl w:val="9E443BD2"/>
    <w:lvl w:ilvl="0" w:tplc="BC70A8F0">
      <w:start w:val="61"/>
      <w:numFmt w:val="lowerLetter"/>
      <w:lvlText w:val="%1)"/>
      <w:lvlJc w:val="left"/>
      <w:pPr>
        <w:ind w:left="1003"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CE2D97"/>
    <w:multiLevelType w:val="hybridMultilevel"/>
    <w:tmpl w:val="5F2CA1D6"/>
    <w:lvl w:ilvl="0" w:tplc="38D48D1A">
      <w:start w:val="9"/>
      <w:numFmt w:val="lowerLetter"/>
      <w:lvlText w:val="%1)"/>
      <w:lvlJc w:val="left"/>
      <w:pPr>
        <w:ind w:left="1003"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5304895"/>
    <w:multiLevelType w:val="hybridMultilevel"/>
    <w:tmpl w:val="9E3E60CA"/>
    <w:lvl w:ilvl="0" w:tplc="714CE5D4">
      <w:start w:val="15"/>
      <w:numFmt w:val="lowerLetter"/>
      <w:lvlText w:val="%1)"/>
      <w:lvlJc w:val="left"/>
      <w:pPr>
        <w:ind w:left="360" w:hanging="360"/>
      </w:pPr>
      <w:rPr>
        <w:rFonts w:ascii="Tahoma" w:hAnsi="Tahoma" w:cs="Tahoma" w:hint="default"/>
        <w:sz w:val="16"/>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8074036"/>
    <w:multiLevelType w:val="hybridMultilevel"/>
    <w:tmpl w:val="4FA288FE"/>
    <w:lvl w:ilvl="0" w:tplc="9400284E">
      <w:start w:val="35"/>
      <w:numFmt w:val="lowerLetter"/>
      <w:lvlText w:val="%1)"/>
      <w:lvlJc w:val="left"/>
      <w:pPr>
        <w:ind w:left="1003"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91B21B1"/>
    <w:multiLevelType w:val="hybridMultilevel"/>
    <w:tmpl w:val="96D28822"/>
    <w:lvl w:ilvl="0" w:tplc="FA6A706E">
      <w:start w:val="10"/>
      <w:numFmt w:val="lowerLetter"/>
      <w:lvlText w:val="%1)"/>
      <w:lvlJc w:val="left"/>
      <w:pPr>
        <w:ind w:left="720" w:hanging="360"/>
      </w:pPr>
      <w:rPr>
        <w:rFonts w:ascii="Tahoma" w:hAnsi="Tahoma" w:cs="Tahoma" w:hint="default"/>
        <w:sz w:val="16"/>
        <w:szCs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590ADA"/>
    <w:multiLevelType w:val="hybridMultilevel"/>
    <w:tmpl w:val="1496249A"/>
    <w:lvl w:ilvl="0" w:tplc="4538E0BA">
      <w:start w:val="35"/>
      <w:numFmt w:val="lowerLetter"/>
      <w:lvlText w:val="%1)"/>
      <w:lvlJc w:val="left"/>
      <w:pPr>
        <w:ind w:left="1003"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E874A7"/>
    <w:multiLevelType w:val="hybridMultilevel"/>
    <w:tmpl w:val="E15AB6D4"/>
    <w:lvl w:ilvl="0" w:tplc="CC5EAEF8">
      <w:start w:val="1"/>
      <w:numFmt w:val="lowerLetter"/>
      <w:lvlText w:val="%1)"/>
      <w:lvlJc w:val="left"/>
      <w:pPr>
        <w:ind w:left="1003" w:hanging="360"/>
      </w:pPr>
      <w:rPr>
        <w:rFonts w:ascii="Tahoma" w:hAnsi="Tahoma" w:cs="Tahoma" w:hint="default"/>
        <w:sz w:val="16"/>
        <w:szCs w:val="16"/>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19" w15:restartNumberingAfterBreak="0">
    <w:nsid w:val="7A526D70"/>
    <w:multiLevelType w:val="hybridMultilevel"/>
    <w:tmpl w:val="3990D170"/>
    <w:lvl w:ilvl="0" w:tplc="FA72800C">
      <w:start w:val="9"/>
      <w:numFmt w:val="lowerLetter"/>
      <w:lvlText w:val="%1)"/>
      <w:lvlJc w:val="left"/>
      <w:pPr>
        <w:ind w:left="1003" w:hanging="360"/>
      </w:pPr>
      <w:rPr>
        <w:rFonts w:hint="default"/>
        <w:i/>
      </w:r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num w:numId="1">
    <w:abstractNumId w:val="7"/>
  </w:num>
  <w:num w:numId="2">
    <w:abstractNumId w:val="9"/>
  </w:num>
  <w:num w:numId="3">
    <w:abstractNumId w:val="18"/>
  </w:num>
  <w:num w:numId="4">
    <w:abstractNumId w:val="19"/>
  </w:num>
  <w:num w:numId="5">
    <w:abstractNumId w:val="5"/>
  </w:num>
  <w:num w:numId="6">
    <w:abstractNumId w:val="10"/>
  </w:num>
  <w:num w:numId="7">
    <w:abstractNumId w:val="11"/>
  </w:num>
  <w:num w:numId="8">
    <w:abstractNumId w:val="15"/>
  </w:num>
  <w:num w:numId="9">
    <w:abstractNumId w:val="12"/>
  </w:num>
  <w:num w:numId="10">
    <w:abstractNumId w:val="2"/>
  </w:num>
  <w:num w:numId="11">
    <w:abstractNumId w:val="13"/>
  </w:num>
  <w:num w:numId="12">
    <w:abstractNumId w:val="17"/>
  </w:num>
  <w:num w:numId="13">
    <w:abstractNumId w:val="1"/>
  </w:num>
  <w:num w:numId="14">
    <w:abstractNumId w:val="4"/>
  </w:num>
  <w:num w:numId="15">
    <w:abstractNumId w:val="6"/>
  </w:num>
  <w:num w:numId="16">
    <w:abstractNumId w:val="8"/>
  </w:num>
  <w:num w:numId="17">
    <w:abstractNumId w:val="16"/>
  </w:num>
  <w:num w:numId="18">
    <w:abstractNumId w:val="3"/>
  </w:num>
  <w:num w:numId="19">
    <w:abstractNumId w:val="14"/>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6"/>
    <w:rsid w:val="00001269"/>
    <w:rsid w:val="000018B4"/>
    <w:rsid w:val="00001BDA"/>
    <w:rsid w:val="00015447"/>
    <w:rsid w:val="00017FD8"/>
    <w:rsid w:val="00021F9D"/>
    <w:rsid w:val="00035EA5"/>
    <w:rsid w:val="00042DD5"/>
    <w:rsid w:val="00063970"/>
    <w:rsid w:val="0006535C"/>
    <w:rsid w:val="00073AAD"/>
    <w:rsid w:val="000766CE"/>
    <w:rsid w:val="0008607A"/>
    <w:rsid w:val="00093FCB"/>
    <w:rsid w:val="000948E7"/>
    <w:rsid w:val="000A1F92"/>
    <w:rsid w:val="000A3989"/>
    <w:rsid w:val="000A5F07"/>
    <w:rsid w:val="000B5C69"/>
    <w:rsid w:val="000E1DFA"/>
    <w:rsid w:val="000F114D"/>
    <w:rsid w:val="000F5062"/>
    <w:rsid w:val="00100DE3"/>
    <w:rsid w:val="00107519"/>
    <w:rsid w:val="001134DC"/>
    <w:rsid w:val="001518CE"/>
    <w:rsid w:val="001524FC"/>
    <w:rsid w:val="001555D8"/>
    <w:rsid w:val="00170F49"/>
    <w:rsid w:val="00191FAB"/>
    <w:rsid w:val="00191FB2"/>
    <w:rsid w:val="001A2306"/>
    <w:rsid w:val="001C4D93"/>
    <w:rsid w:val="001D2FBC"/>
    <w:rsid w:val="001D37C9"/>
    <w:rsid w:val="001E407B"/>
    <w:rsid w:val="001E493D"/>
    <w:rsid w:val="001E5135"/>
    <w:rsid w:val="001E5E8F"/>
    <w:rsid w:val="001E6963"/>
    <w:rsid w:val="001F2B7F"/>
    <w:rsid w:val="001F334A"/>
    <w:rsid w:val="002055B7"/>
    <w:rsid w:val="002135DC"/>
    <w:rsid w:val="00214884"/>
    <w:rsid w:val="00217495"/>
    <w:rsid w:val="002208E2"/>
    <w:rsid w:val="002249F7"/>
    <w:rsid w:val="00225F2B"/>
    <w:rsid w:val="00236905"/>
    <w:rsid w:val="00236C85"/>
    <w:rsid w:val="00237774"/>
    <w:rsid w:val="00241545"/>
    <w:rsid w:val="00241EF4"/>
    <w:rsid w:val="00243783"/>
    <w:rsid w:val="00246ED3"/>
    <w:rsid w:val="00247DA0"/>
    <w:rsid w:val="0025720F"/>
    <w:rsid w:val="00261AAF"/>
    <w:rsid w:val="00264D5B"/>
    <w:rsid w:val="00265270"/>
    <w:rsid w:val="0026637F"/>
    <w:rsid w:val="00272CF9"/>
    <w:rsid w:val="0027549A"/>
    <w:rsid w:val="00282566"/>
    <w:rsid w:val="002841F7"/>
    <w:rsid w:val="002872A8"/>
    <w:rsid w:val="00290DBF"/>
    <w:rsid w:val="00290F14"/>
    <w:rsid w:val="00291F49"/>
    <w:rsid w:val="00293073"/>
    <w:rsid w:val="002A3948"/>
    <w:rsid w:val="002A6549"/>
    <w:rsid w:val="002A6594"/>
    <w:rsid w:val="002B0CD3"/>
    <w:rsid w:val="002B6C38"/>
    <w:rsid w:val="002D1FFD"/>
    <w:rsid w:val="002D31E1"/>
    <w:rsid w:val="002D6EA2"/>
    <w:rsid w:val="002E6F22"/>
    <w:rsid w:val="002F26D7"/>
    <w:rsid w:val="002F5968"/>
    <w:rsid w:val="002F70E0"/>
    <w:rsid w:val="00302CBB"/>
    <w:rsid w:val="00307E66"/>
    <w:rsid w:val="0031477C"/>
    <w:rsid w:val="003165AF"/>
    <w:rsid w:val="003237F4"/>
    <w:rsid w:val="00324841"/>
    <w:rsid w:val="0032748A"/>
    <w:rsid w:val="00335FD4"/>
    <w:rsid w:val="003360AD"/>
    <w:rsid w:val="00337ED4"/>
    <w:rsid w:val="003416F0"/>
    <w:rsid w:val="003439DB"/>
    <w:rsid w:val="003460D3"/>
    <w:rsid w:val="00361623"/>
    <w:rsid w:val="00361F1A"/>
    <w:rsid w:val="00362D60"/>
    <w:rsid w:val="00367281"/>
    <w:rsid w:val="00372884"/>
    <w:rsid w:val="003811AF"/>
    <w:rsid w:val="0038193A"/>
    <w:rsid w:val="00387CFE"/>
    <w:rsid w:val="003912D5"/>
    <w:rsid w:val="00391389"/>
    <w:rsid w:val="003936CE"/>
    <w:rsid w:val="00395851"/>
    <w:rsid w:val="003A2F4A"/>
    <w:rsid w:val="003A6123"/>
    <w:rsid w:val="003A6B91"/>
    <w:rsid w:val="003B22E0"/>
    <w:rsid w:val="003B457B"/>
    <w:rsid w:val="003D11AE"/>
    <w:rsid w:val="003D3E62"/>
    <w:rsid w:val="003E110E"/>
    <w:rsid w:val="003E6792"/>
    <w:rsid w:val="003F3AF4"/>
    <w:rsid w:val="003F6231"/>
    <w:rsid w:val="004008D5"/>
    <w:rsid w:val="00402C54"/>
    <w:rsid w:val="00405600"/>
    <w:rsid w:val="004235A7"/>
    <w:rsid w:val="00431CDC"/>
    <w:rsid w:val="00456E3F"/>
    <w:rsid w:val="004725FA"/>
    <w:rsid w:val="004877DA"/>
    <w:rsid w:val="004A32B1"/>
    <w:rsid w:val="004A668A"/>
    <w:rsid w:val="004A744B"/>
    <w:rsid w:val="004B4EF0"/>
    <w:rsid w:val="004C3404"/>
    <w:rsid w:val="004E13E7"/>
    <w:rsid w:val="004E3F79"/>
    <w:rsid w:val="004E76B9"/>
    <w:rsid w:val="0050121D"/>
    <w:rsid w:val="00502C9F"/>
    <w:rsid w:val="00513875"/>
    <w:rsid w:val="005150FF"/>
    <w:rsid w:val="005213E7"/>
    <w:rsid w:val="0052332B"/>
    <w:rsid w:val="00534C84"/>
    <w:rsid w:val="00534DAB"/>
    <w:rsid w:val="005350C5"/>
    <w:rsid w:val="00547DE3"/>
    <w:rsid w:val="0056251B"/>
    <w:rsid w:val="00564298"/>
    <w:rsid w:val="00567907"/>
    <w:rsid w:val="00571483"/>
    <w:rsid w:val="00574A65"/>
    <w:rsid w:val="00580423"/>
    <w:rsid w:val="00581EBE"/>
    <w:rsid w:val="005839F4"/>
    <w:rsid w:val="005A0682"/>
    <w:rsid w:val="005A4020"/>
    <w:rsid w:val="005A48F2"/>
    <w:rsid w:val="005B23EC"/>
    <w:rsid w:val="005B7BCD"/>
    <w:rsid w:val="005C0755"/>
    <w:rsid w:val="005C447A"/>
    <w:rsid w:val="005C73C2"/>
    <w:rsid w:val="005D63E8"/>
    <w:rsid w:val="005D6F76"/>
    <w:rsid w:val="005E7C12"/>
    <w:rsid w:val="005F1CE0"/>
    <w:rsid w:val="005F3C86"/>
    <w:rsid w:val="005F4362"/>
    <w:rsid w:val="005F4CDB"/>
    <w:rsid w:val="00615C46"/>
    <w:rsid w:val="006218A0"/>
    <w:rsid w:val="006227C2"/>
    <w:rsid w:val="006252E1"/>
    <w:rsid w:val="006267AD"/>
    <w:rsid w:val="006267F6"/>
    <w:rsid w:val="006367BB"/>
    <w:rsid w:val="00637006"/>
    <w:rsid w:val="00647983"/>
    <w:rsid w:val="00650AC1"/>
    <w:rsid w:val="0065263A"/>
    <w:rsid w:val="0065404E"/>
    <w:rsid w:val="0066135E"/>
    <w:rsid w:val="006614A9"/>
    <w:rsid w:val="006638F5"/>
    <w:rsid w:val="00663C65"/>
    <w:rsid w:val="00666940"/>
    <w:rsid w:val="00670817"/>
    <w:rsid w:val="00670B13"/>
    <w:rsid w:val="006723D8"/>
    <w:rsid w:val="006769AB"/>
    <w:rsid w:val="0067791A"/>
    <w:rsid w:val="006858AB"/>
    <w:rsid w:val="00690781"/>
    <w:rsid w:val="00694B20"/>
    <w:rsid w:val="00697073"/>
    <w:rsid w:val="006B09CA"/>
    <w:rsid w:val="006B3376"/>
    <w:rsid w:val="006B63D1"/>
    <w:rsid w:val="006C5739"/>
    <w:rsid w:val="006C69BB"/>
    <w:rsid w:val="006D1766"/>
    <w:rsid w:val="006D2180"/>
    <w:rsid w:val="006D72E5"/>
    <w:rsid w:val="006D7DEE"/>
    <w:rsid w:val="006E2008"/>
    <w:rsid w:val="006E22F3"/>
    <w:rsid w:val="006E50DF"/>
    <w:rsid w:val="006E552D"/>
    <w:rsid w:val="006F2BF1"/>
    <w:rsid w:val="006F73B4"/>
    <w:rsid w:val="006F7B49"/>
    <w:rsid w:val="007008DD"/>
    <w:rsid w:val="0072497B"/>
    <w:rsid w:val="00726806"/>
    <w:rsid w:val="007268C4"/>
    <w:rsid w:val="00731E01"/>
    <w:rsid w:val="00732817"/>
    <w:rsid w:val="00741B13"/>
    <w:rsid w:val="007474EA"/>
    <w:rsid w:val="00752158"/>
    <w:rsid w:val="007532B6"/>
    <w:rsid w:val="00772AEE"/>
    <w:rsid w:val="00775C05"/>
    <w:rsid w:val="00783D8F"/>
    <w:rsid w:val="007867A8"/>
    <w:rsid w:val="007939A8"/>
    <w:rsid w:val="007B250E"/>
    <w:rsid w:val="007C068C"/>
    <w:rsid w:val="007C2372"/>
    <w:rsid w:val="007C2D51"/>
    <w:rsid w:val="007D0429"/>
    <w:rsid w:val="007D592C"/>
    <w:rsid w:val="007E1634"/>
    <w:rsid w:val="007E1955"/>
    <w:rsid w:val="007E415B"/>
    <w:rsid w:val="007E49F2"/>
    <w:rsid w:val="007F045A"/>
    <w:rsid w:val="007F103D"/>
    <w:rsid w:val="00800145"/>
    <w:rsid w:val="00801611"/>
    <w:rsid w:val="00802E06"/>
    <w:rsid w:val="008130D1"/>
    <w:rsid w:val="00813BB9"/>
    <w:rsid w:val="008216ED"/>
    <w:rsid w:val="00822029"/>
    <w:rsid w:val="008230C9"/>
    <w:rsid w:val="0083254C"/>
    <w:rsid w:val="008371FC"/>
    <w:rsid w:val="00837A0D"/>
    <w:rsid w:val="008439F2"/>
    <w:rsid w:val="00846147"/>
    <w:rsid w:val="00854FAA"/>
    <w:rsid w:val="00862B9F"/>
    <w:rsid w:val="0088361F"/>
    <w:rsid w:val="008A4A7D"/>
    <w:rsid w:val="008B61EE"/>
    <w:rsid w:val="008B6574"/>
    <w:rsid w:val="008C7341"/>
    <w:rsid w:val="008D6923"/>
    <w:rsid w:val="008E35EF"/>
    <w:rsid w:val="008E4B82"/>
    <w:rsid w:val="008E7055"/>
    <w:rsid w:val="008E7717"/>
    <w:rsid w:val="008E78C6"/>
    <w:rsid w:val="008F7D36"/>
    <w:rsid w:val="00900EDF"/>
    <w:rsid w:val="00904856"/>
    <w:rsid w:val="009103BD"/>
    <w:rsid w:val="0092133A"/>
    <w:rsid w:val="00934052"/>
    <w:rsid w:val="009368C5"/>
    <w:rsid w:val="00941252"/>
    <w:rsid w:val="00945043"/>
    <w:rsid w:val="0094573A"/>
    <w:rsid w:val="00947084"/>
    <w:rsid w:val="00952CDC"/>
    <w:rsid w:val="009601F9"/>
    <w:rsid w:val="00963317"/>
    <w:rsid w:val="0096366D"/>
    <w:rsid w:val="009777AF"/>
    <w:rsid w:val="00981F27"/>
    <w:rsid w:val="00982E43"/>
    <w:rsid w:val="00984ECF"/>
    <w:rsid w:val="00991865"/>
    <w:rsid w:val="00992BCE"/>
    <w:rsid w:val="009A0D74"/>
    <w:rsid w:val="009A3262"/>
    <w:rsid w:val="009A5ACE"/>
    <w:rsid w:val="009B081F"/>
    <w:rsid w:val="009B548F"/>
    <w:rsid w:val="009B68E7"/>
    <w:rsid w:val="009C0940"/>
    <w:rsid w:val="009C0BCD"/>
    <w:rsid w:val="009C4496"/>
    <w:rsid w:val="009D0E43"/>
    <w:rsid w:val="009D15C7"/>
    <w:rsid w:val="009D5656"/>
    <w:rsid w:val="009D57B1"/>
    <w:rsid w:val="009D64A7"/>
    <w:rsid w:val="009D6AC4"/>
    <w:rsid w:val="009E1EDC"/>
    <w:rsid w:val="009F7C23"/>
    <w:rsid w:val="009F7F07"/>
    <w:rsid w:val="00A013D8"/>
    <w:rsid w:val="00A02C29"/>
    <w:rsid w:val="00A10463"/>
    <w:rsid w:val="00A14C32"/>
    <w:rsid w:val="00A16318"/>
    <w:rsid w:val="00A223BD"/>
    <w:rsid w:val="00A40CBB"/>
    <w:rsid w:val="00A44A62"/>
    <w:rsid w:val="00A64C9F"/>
    <w:rsid w:val="00A66830"/>
    <w:rsid w:val="00A73B7D"/>
    <w:rsid w:val="00A7658E"/>
    <w:rsid w:val="00A825A9"/>
    <w:rsid w:val="00AB5330"/>
    <w:rsid w:val="00AB64CB"/>
    <w:rsid w:val="00AB774B"/>
    <w:rsid w:val="00AC4E64"/>
    <w:rsid w:val="00AD19A1"/>
    <w:rsid w:val="00AD6736"/>
    <w:rsid w:val="00AE0FB6"/>
    <w:rsid w:val="00AE6FEA"/>
    <w:rsid w:val="00AF0B92"/>
    <w:rsid w:val="00AF165A"/>
    <w:rsid w:val="00AF188C"/>
    <w:rsid w:val="00AF1A1B"/>
    <w:rsid w:val="00AF283A"/>
    <w:rsid w:val="00B00B4B"/>
    <w:rsid w:val="00B0123A"/>
    <w:rsid w:val="00B0293B"/>
    <w:rsid w:val="00B05550"/>
    <w:rsid w:val="00B0755F"/>
    <w:rsid w:val="00B075EA"/>
    <w:rsid w:val="00B16372"/>
    <w:rsid w:val="00B17CFD"/>
    <w:rsid w:val="00B263C0"/>
    <w:rsid w:val="00B27202"/>
    <w:rsid w:val="00B3545A"/>
    <w:rsid w:val="00B45509"/>
    <w:rsid w:val="00B521D2"/>
    <w:rsid w:val="00B530E0"/>
    <w:rsid w:val="00B5643F"/>
    <w:rsid w:val="00B57ABF"/>
    <w:rsid w:val="00B66531"/>
    <w:rsid w:val="00B67595"/>
    <w:rsid w:val="00B71400"/>
    <w:rsid w:val="00B76DA3"/>
    <w:rsid w:val="00B871E0"/>
    <w:rsid w:val="00B918A3"/>
    <w:rsid w:val="00BA480B"/>
    <w:rsid w:val="00BB18CA"/>
    <w:rsid w:val="00BB375F"/>
    <w:rsid w:val="00BB3D8A"/>
    <w:rsid w:val="00BD1619"/>
    <w:rsid w:val="00BD369E"/>
    <w:rsid w:val="00BD4383"/>
    <w:rsid w:val="00BE1E54"/>
    <w:rsid w:val="00BE32C8"/>
    <w:rsid w:val="00BE3ABA"/>
    <w:rsid w:val="00BE552B"/>
    <w:rsid w:val="00BF0521"/>
    <w:rsid w:val="00BF2D1C"/>
    <w:rsid w:val="00BF5670"/>
    <w:rsid w:val="00C016F5"/>
    <w:rsid w:val="00C073C1"/>
    <w:rsid w:val="00C076A2"/>
    <w:rsid w:val="00C17922"/>
    <w:rsid w:val="00C17BA3"/>
    <w:rsid w:val="00C37291"/>
    <w:rsid w:val="00C37F0A"/>
    <w:rsid w:val="00C57467"/>
    <w:rsid w:val="00C702D1"/>
    <w:rsid w:val="00C72D37"/>
    <w:rsid w:val="00C75CB1"/>
    <w:rsid w:val="00C8176B"/>
    <w:rsid w:val="00C818A5"/>
    <w:rsid w:val="00C825D3"/>
    <w:rsid w:val="00C87414"/>
    <w:rsid w:val="00C97CA2"/>
    <w:rsid w:val="00CB304E"/>
    <w:rsid w:val="00CB4CBF"/>
    <w:rsid w:val="00CC2E00"/>
    <w:rsid w:val="00CD33CF"/>
    <w:rsid w:val="00CD7222"/>
    <w:rsid w:val="00CE7AF9"/>
    <w:rsid w:val="00CF0ACF"/>
    <w:rsid w:val="00CF38E1"/>
    <w:rsid w:val="00CF5482"/>
    <w:rsid w:val="00CF7877"/>
    <w:rsid w:val="00D143D0"/>
    <w:rsid w:val="00D17192"/>
    <w:rsid w:val="00D222F1"/>
    <w:rsid w:val="00D27DB4"/>
    <w:rsid w:val="00D32A4D"/>
    <w:rsid w:val="00D379E6"/>
    <w:rsid w:val="00D4088C"/>
    <w:rsid w:val="00D4229D"/>
    <w:rsid w:val="00D42CD7"/>
    <w:rsid w:val="00D43E1F"/>
    <w:rsid w:val="00D61625"/>
    <w:rsid w:val="00D76D5B"/>
    <w:rsid w:val="00D92F07"/>
    <w:rsid w:val="00D97986"/>
    <w:rsid w:val="00DA3F54"/>
    <w:rsid w:val="00DB29DE"/>
    <w:rsid w:val="00DC62A4"/>
    <w:rsid w:val="00DD7752"/>
    <w:rsid w:val="00DE60B7"/>
    <w:rsid w:val="00DF03C2"/>
    <w:rsid w:val="00DF39D8"/>
    <w:rsid w:val="00DF4BAA"/>
    <w:rsid w:val="00E14017"/>
    <w:rsid w:val="00E1472F"/>
    <w:rsid w:val="00E271BC"/>
    <w:rsid w:val="00E2725D"/>
    <w:rsid w:val="00E3231B"/>
    <w:rsid w:val="00E3317B"/>
    <w:rsid w:val="00E34ACF"/>
    <w:rsid w:val="00E43A28"/>
    <w:rsid w:val="00E54F74"/>
    <w:rsid w:val="00E65796"/>
    <w:rsid w:val="00E66F82"/>
    <w:rsid w:val="00E74548"/>
    <w:rsid w:val="00E7773F"/>
    <w:rsid w:val="00E81077"/>
    <w:rsid w:val="00E839A6"/>
    <w:rsid w:val="00E844A7"/>
    <w:rsid w:val="00E906F0"/>
    <w:rsid w:val="00E918CC"/>
    <w:rsid w:val="00E92AC5"/>
    <w:rsid w:val="00E97A50"/>
    <w:rsid w:val="00EA2028"/>
    <w:rsid w:val="00EB08B3"/>
    <w:rsid w:val="00EB1FDC"/>
    <w:rsid w:val="00EB5317"/>
    <w:rsid w:val="00EB5D27"/>
    <w:rsid w:val="00EC08CE"/>
    <w:rsid w:val="00EC2F5E"/>
    <w:rsid w:val="00EC6267"/>
    <w:rsid w:val="00ED2E08"/>
    <w:rsid w:val="00ED5568"/>
    <w:rsid w:val="00EE47B2"/>
    <w:rsid w:val="00EE60E9"/>
    <w:rsid w:val="00EE6800"/>
    <w:rsid w:val="00F00A29"/>
    <w:rsid w:val="00F03917"/>
    <w:rsid w:val="00F057FC"/>
    <w:rsid w:val="00F12335"/>
    <w:rsid w:val="00F12E57"/>
    <w:rsid w:val="00F14ECE"/>
    <w:rsid w:val="00F2642F"/>
    <w:rsid w:val="00F30ABC"/>
    <w:rsid w:val="00F30F0A"/>
    <w:rsid w:val="00F32D9C"/>
    <w:rsid w:val="00F3569C"/>
    <w:rsid w:val="00F40937"/>
    <w:rsid w:val="00F40974"/>
    <w:rsid w:val="00F41CF2"/>
    <w:rsid w:val="00F446B6"/>
    <w:rsid w:val="00F5165C"/>
    <w:rsid w:val="00F519E7"/>
    <w:rsid w:val="00F55EB4"/>
    <w:rsid w:val="00F678DA"/>
    <w:rsid w:val="00F7561E"/>
    <w:rsid w:val="00F77D25"/>
    <w:rsid w:val="00F808E5"/>
    <w:rsid w:val="00F83800"/>
    <w:rsid w:val="00F83A69"/>
    <w:rsid w:val="00F92405"/>
    <w:rsid w:val="00F93048"/>
    <w:rsid w:val="00FB3C42"/>
    <w:rsid w:val="00FC0EA6"/>
    <w:rsid w:val="00FC3832"/>
    <w:rsid w:val="00FC3FA9"/>
    <w:rsid w:val="00FD2163"/>
    <w:rsid w:val="00FD5422"/>
    <w:rsid w:val="00FD78CB"/>
    <w:rsid w:val="00FE1243"/>
    <w:rsid w:val="00FF78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66EC9F2"/>
  <w15:docId w15:val="{A786AEC1-19B8-4A74-B181-7B2F5ADA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755"/>
    <w:pPr>
      <w:overflowPunct w:val="0"/>
      <w:autoSpaceDE w:val="0"/>
      <w:autoSpaceDN w:val="0"/>
      <w:adjustRightInd w:val="0"/>
      <w:textAlignment w:val="baseline"/>
    </w:pPr>
    <w:rPr>
      <w:lang w:eastAsia="en-US"/>
    </w:rPr>
  </w:style>
  <w:style w:type="paragraph" w:styleId="Balk1">
    <w:name w:val="heading 1"/>
    <w:basedOn w:val="Normal"/>
    <w:next w:val="Normal"/>
    <w:qFormat/>
    <w:rsid w:val="005C0755"/>
    <w:pPr>
      <w:keepNext/>
      <w:outlineLvl w:val="0"/>
    </w:pPr>
    <w:rPr>
      <w:b/>
      <w:spacing w:val="-12"/>
      <w:position w:val="2"/>
      <w:sz w:val="24"/>
    </w:rPr>
  </w:style>
  <w:style w:type="paragraph" w:styleId="Balk2">
    <w:name w:val="heading 2"/>
    <w:basedOn w:val="Normal"/>
    <w:next w:val="Normal"/>
    <w:qFormat/>
    <w:rsid w:val="005C0755"/>
    <w:pPr>
      <w:keepNext/>
      <w:jc w:val="both"/>
      <w:outlineLvl w:val="1"/>
    </w:pPr>
    <w:rPr>
      <w:b/>
      <w:bCs/>
      <w:sz w:val="32"/>
    </w:rPr>
  </w:style>
  <w:style w:type="paragraph" w:styleId="Balk3">
    <w:name w:val="heading 3"/>
    <w:basedOn w:val="Normal"/>
    <w:next w:val="Normal"/>
    <w:qFormat/>
    <w:rsid w:val="005C0755"/>
    <w:pPr>
      <w:keepNext/>
      <w:tabs>
        <w:tab w:val="left" w:pos="270"/>
      </w:tabs>
      <w:jc w:val="both"/>
      <w:outlineLvl w:val="2"/>
    </w:pPr>
    <w:rPr>
      <w:sz w:val="24"/>
    </w:rPr>
  </w:style>
  <w:style w:type="paragraph" w:styleId="Balk4">
    <w:name w:val="heading 4"/>
    <w:basedOn w:val="Normal"/>
    <w:next w:val="Normal"/>
    <w:qFormat/>
    <w:rsid w:val="005C0755"/>
    <w:pPr>
      <w:keepNext/>
      <w:jc w:val="both"/>
      <w:outlineLvl w:val="3"/>
    </w:pPr>
    <w:rPr>
      <w:b/>
      <w:bCs/>
    </w:rPr>
  </w:style>
  <w:style w:type="paragraph" w:styleId="Balk5">
    <w:name w:val="heading 5"/>
    <w:basedOn w:val="Normal"/>
    <w:next w:val="Normal"/>
    <w:qFormat/>
    <w:rsid w:val="005C0755"/>
    <w:pPr>
      <w:keepNext/>
      <w:ind w:left="2160" w:firstLine="720"/>
      <w:jc w:val="both"/>
      <w:outlineLvl w:val="4"/>
    </w:pPr>
    <w:rPr>
      <w:b/>
      <w:bCs/>
    </w:rPr>
  </w:style>
  <w:style w:type="paragraph" w:styleId="Balk6">
    <w:name w:val="heading 6"/>
    <w:basedOn w:val="Normal"/>
    <w:next w:val="Normal"/>
    <w:qFormat/>
    <w:rsid w:val="005C0755"/>
    <w:pPr>
      <w:keepNext/>
      <w:ind w:left="-142"/>
      <w:outlineLvl w:val="5"/>
    </w:pPr>
    <w:rPr>
      <w:sz w:val="24"/>
    </w:rPr>
  </w:style>
  <w:style w:type="paragraph" w:styleId="Balk7">
    <w:name w:val="heading 7"/>
    <w:basedOn w:val="Normal"/>
    <w:next w:val="Normal"/>
    <w:link w:val="Balk7Char"/>
    <w:qFormat/>
    <w:rsid w:val="003237F4"/>
    <w:pPr>
      <w:overflowPunct/>
      <w:autoSpaceDE/>
      <w:autoSpaceDN/>
      <w:adjustRightInd/>
      <w:spacing w:before="240" w:after="60"/>
      <w:textAlignment w:val="auto"/>
      <w:outlineLvl w:val="6"/>
    </w:pPr>
    <w:rPr>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3237F4"/>
    <w:rPr>
      <w:sz w:val="24"/>
      <w:szCs w:val="24"/>
    </w:rPr>
  </w:style>
  <w:style w:type="paragraph" w:styleId="BalonMetni">
    <w:name w:val="Balloon Text"/>
    <w:basedOn w:val="Normal"/>
    <w:semiHidden/>
    <w:rsid w:val="005C0755"/>
    <w:rPr>
      <w:rFonts w:ascii="Tahoma" w:hAnsi="Tahoma" w:cs="Tahoma"/>
      <w:sz w:val="16"/>
      <w:szCs w:val="16"/>
    </w:rPr>
  </w:style>
  <w:style w:type="paragraph" w:styleId="bekMetni">
    <w:name w:val="Block Text"/>
    <w:basedOn w:val="Normal"/>
    <w:rsid w:val="000948E7"/>
    <w:pPr>
      <w:overflowPunct/>
      <w:autoSpaceDE/>
      <w:autoSpaceDN/>
      <w:adjustRightInd/>
      <w:spacing w:line="360" w:lineRule="auto"/>
      <w:ind w:left="-284" w:right="-425" w:firstLine="992"/>
      <w:jc w:val="both"/>
      <w:textAlignment w:val="auto"/>
    </w:pPr>
    <w:rPr>
      <w:rFonts w:ascii="Arial" w:hAnsi="Arial" w:cs="Arial"/>
      <w:sz w:val="24"/>
    </w:rPr>
  </w:style>
  <w:style w:type="character" w:styleId="Kpr">
    <w:name w:val="Hyperlink"/>
    <w:basedOn w:val="VarsaylanParagrafYazTipi"/>
    <w:uiPriority w:val="99"/>
    <w:unhideWhenUsed/>
    <w:rsid w:val="00650AC1"/>
    <w:rPr>
      <w:color w:val="0000FF" w:themeColor="hyperlink"/>
      <w:u w:val="single"/>
    </w:rPr>
  </w:style>
  <w:style w:type="paragraph" w:styleId="GvdeMetni">
    <w:name w:val="Body Text"/>
    <w:basedOn w:val="Normal"/>
    <w:link w:val="GvdeMetniChar"/>
    <w:rsid w:val="00650AC1"/>
    <w:pPr>
      <w:jc w:val="both"/>
    </w:pPr>
  </w:style>
  <w:style w:type="character" w:customStyle="1" w:styleId="GvdeMetniChar">
    <w:name w:val="Gövde Metni Char"/>
    <w:basedOn w:val="VarsaylanParagrafYazTipi"/>
    <w:link w:val="GvdeMetni"/>
    <w:rsid w:val="00650AC1"/>
    <w:rPr>
      <w:lang w:eastAsia="en-US"/>
    </w:rPr>
  </w:style>
  <w:style w:type="paragraph" w:styleId="ListeParagraf">
    <w:name w:val="List Paragraph"/>
    <w:basedOn w:val="Normal"/>
    <w:uiPriority w:val="34"/>
    <w:qFormat/>
    <w:rsid w:val="00650AC1"/>
    <w:pPr>
      <w:ind w:left="720"/>
      <w:contextualSpacing/>
    </w:pPr>
  </w:style>
  <w:style w:type="paragraph" w:styleId="GvdeMetniGirintisi">
    <w:name w:val="Body Text Indent"/>
    <w:basedOn w:val="Normal"/>
    <w:link w:val="GvdeMetniGirintisiChar"/>
    <w:rsid w:val="00822029"/>
    <w:pPr>
      <w:spacing w:after="120"/>
      <w:ind w:left="283"/>
    </w:pPr>
  </w:style>
  <w:style w:type="character" w:customStyle="1" w:styleId="GvdeMetniGirintisiChar">
    <w:name w:val="Gövde Metni Girintisi Char"/>
    <w:basedOn w:val="VarsaylanParagrafYazTipi"/>
    <w:link w:val="GvdeMetniGirintisi"/>
    <w:rsid w:val="00822029"/>
    <w:rPr>
      <w:lang w:val="en-GB" w:eastAsia="en-US"/>
    </w:rPr>
  </w:style>
  <w:style w:type="paragraph" w:styleId="KonuBal">
    <w:name w:val="Title"/>
    <w:basedOn w:val="Normal"/>
    <w:link w:val="KonuBalChar"/>
    <w:qFormat/>
    <w:rsid w:val="00822029"/>
    <w:pPr>
      <w:jc w:val="center"/>
    </w:pPr>
    <w:rPr>
      <w:b/>
      <w:bCs/>
      <w:sz w:val="28"/>
      <w:szCs w:val="28"/>
    </w:rPr>
  </w:style>
  <w:style w:type="character" w:customStyle="1" w:styleId="KonuBalChar">
    <w:name w:val="Konu Başlığı Char"/>
    <w:basedOn w:val="VarsaylanParagrafYazTipi"/>
    <w:link w:val="KonuBal"/>
    <w:rsid w:val="00822029"/>
    <w:rPr>
      <w:b/>
      <w:bCs/>
      <w:sz w:val="28"/>
      <w:szCs w:val="28"/>
      <w:lang w:val="en-GB" w:eastAsia="en-US"/>
    </w:rPr>
  </w:style>
  <w:style w:type="paragraph" w:styleId="GvdeMetniGirintisi2">
    <w:name w:val="Body Text Indent 2"/>
    <w:basedOn w:val="Normal"/>
    <w:link w:val="GvdeMetniGirintisi2Char"/>
    <w:uiPriority w:val="99"/>
    <w:unhideWhenUsed/>
    <w:rsid w:val="00822029"/>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822029"/>
    <w:rPr>
      <w:lang w:val="en-GB" w:eastAsia="en-US"/>
    </w:rPr>
  </w:style>
  <w:style w:type="paragraph" w:styleId="GvdeMetni3">
    <w:name w:val="Body Text 3"/>
    <w:basedOn w:val="Normal"/>
    <w:link w:val="GvdeMetni3Char"/>
    <w:unhideWhenUsed/>
    <w:rsid w:val="00AD6736"/>
    <w:pPr>
      <w:spacing w:after="120"/>
    </w:pPr>
    <w:rPr>
      <w:sz w:val="16"/>
      <w:szCs w:val="16"/>
    </w:rPr>
  </w:style>
  <w:style w:type="character" w:customStyle="1" w:styleId="GvdeMetni3Char">
    <w:name w:val="Gövde Metni 3 Char"/>
    <w:basedOn w:val="VarsaylanParagrafYazTipi"/>
    <w:link w:val="GvdeMetni3"/>
    <w:rsid w:val="00AD6736"/>
    <w:rPr>
      <w:sz w:val="16"/>
      <w:szCs w:val="16"/>
      <w:lang w:val="en-GB" w:eastAsia="en-US"/>
    </w:rPr>
  </w:style>
  <w:style w:type="table" w:styleId="TabloKlavuzu">
    <w:name w:val="Table Grid"/>
    <w:basedOn w:val="NormalTablo"/>
    <w:rsid w:val="00AD673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66940"/>
    <w:pPr>
      <w:autoSpaceDE w:val="0"/>
      <w:autoSpaceDN w:val="0"/>
      <w:adjustRightInd w:val="0"/>
    </w:pPr>
    <w:rPr>
      <w:rFonts w:eastAsiaTheme="minorHAnsi"/>
      <w:color w:val="000000"/>
      <w:sz w:val="24"/>
      <w:szCs w:val="24"/>
      <w:lang w:eastAsia="en-US"/>
    </w:rPr>
  </w:style>
  <w:style w:type="paragraph" w:customStyle="1" w:styleId="2-OrtaBaslk">
    <w:name w:val="2-Orta Baslık"/>
    <w:rsid w:val="00293073"/>
    <w:pPr>
      <w:jc w:val="center"/>
    </w:pPr>
    <w:rPr>
      <w:rFonts w:eastAsia="ヒラギノ明朝 Pro W3" w:hAnsi="Times"/>
      <w:b/>
      <w:sz w:val="19"/>
      <w:lang w:eastAsia="en-US"/>
    </w:rPr>
  </w:style>
  <w:style w:type="character" w:styleId="SayfaNumaras">
    <w:name w:val="page number"/>
    <w:basedOn w:val="VarsaylanParagrafYazTipi"/>
    <w:rsid w:val="003237F4"/>
  </w:style>
  <w:style w:type="character" w:customStyle="1" w:styleId="DeltaViewInsertion">
    <w:name w:val="DeltaView Insertion"/>
    <w:rsid w:val="003237F4"/>
    <w:rPr>
      <w:color w:val="0000FF"/>
      <w:spacing w:val="0"/>
      <w:u w:val="double"/>
    </w:rPr>
  </w:style>
  <w:style w:type="character" w:customStyle="1" w:styleId="DeltaViewDeletion">
    <w:name w:val="DeltaView Deletion"/>
    <w:rsid w:val="003237F4"/>
    <w:rPr>
      <w:strike/>
      <w:color w:val="FF0000"/>
      <w:spacing w:val="0"/>
    </w:rPr>
  </w:style>
  <w:style w:type="character" w:customStyle="1" w:styleId="DeltaViewMoveDestination">
    <w:name w:val="DeltaView Move Destination"/>
    <w:rsid w:val="003237F4"/>
    <w:rPr>
      <w:color w:val="00C000"/>
      <w:spacing w:val="0"/>
      <w:u w:val="double"/>
    </w:rPr>
  </w:style>
  <w:style w:type="paragraph" w:customStyle="1" w:styleId="BodyTextIndent31">
    <w:name w:val="Body Text Indent 31"/>
    <w:basedOn w:val="Normal"/>
    <w:next w:val="Normal"/>
    <w:rsid w:val="003237F4"/>
    <w:pPr>
      <w:overflowPunct/>
      <w:autoSpaceDE/>
      <w:autoSpaceDN/>
      <w:adjustRightInd/>
      <w:jc w:val="both"/>
      <w:textAlignment w:val="auto"/>
    </w:pPr>
    <w:rPr>
      <w:rFonts w:ascii="MS Sans Serif" w:hAnsi="MS Sans Serif"/>
      <w:b/>
      <w:sz w:val="24"/>
      <w:lang w:eastAsia="tr-TR"/>
    </w:rPr>
  </w:style>
  <w:style w:type="paragraph" w:styleId="stBilgi">
    <w:name w:val="header"/>
    <w:basedOn w:val="Normal"/>
    <w:link w:val="stBilgiChar"/>
    <w:rsid w:val="003237F4"/>
    <w:pPr>
      <w:tabs>
        <w:tab w:val="center" w:pos="4536"/>
        <w:tab w:val="right" w:pos="9072"/>
      </w:tabs>
      <w:overflowPunct/>
      <w:autoSpaceDE/>
      <w:autoSpaceDN/>
      <w:adjustRightInd/>
      <w:textAlignment w:val="auto"/>
    </w:pPr>
    <w:rPr>
      <w:lang w:eastAsia="tr-TR"/>
    </w:rPr>
  </w:style>
  <w:style w:type="character" w:customStyle="1" w:styleId="stBilgiChar">
    <w:name w:val="Üst Bilgi Char"/>
    <w:basedOn w:val="VarsaylanParagrafYazTipi"/>
    <w:link w:val="stBilgi"/>
    <w:rsid w:val="003237F4"/>
  </w:style>
  <w:style w:type="paragraph" w:styleId="AltBilgi">
    <w:name w:val="footer"/>
    <w:basedOn w:val="Normal"/>
    <w:link w:val="AltBilgiChar"/>
    <w:rsid w:val="003237F4"/>
    <w:pPr>
      <w:tabs>
        <w:tab w:val="center" w:pos="4536"/>
        <w:tab w:val="right" w:pos="9072"/>
      </w:tabs>
      <w:overflowPunct/>
      <w:autoSpaceDE/>
      <w:autoSpaceDN/>
      <w:adjustRightInd/>
      <w:textAlignment w:val="auto"/>
    </w:pPr>
    <w:rPr>
      <w:lang w:eastAsia="tr-TR"/>
    </w:rPr>
  </w:style>
  <w:style w:type="character" w:customStyle="1" w:styleId="AltBilgiChar">
    <w:name w:val="Alt Bilgi Char"/>
    <w:basedOn w:val="VarsaylanParagrafYazTipi"/>
    <w:link w:val="AltBilgi"/>
    <w:rsid w:val="003237F4"/>
  </w:style>
  <w:style w:type="paragraph" w:styleId="GvdeMetni2">
    <w:name w:val="Body Text 2"/>
    <w:basedOn w:val="Normal"/>
    <w:link w:val="GvdeMetni2Char"/>
    <w:rsid w:val="003237F4"/>
    <w:pPr>
      <w:overflowPunct/>
      <w:autoSpaceDE/>
      <w:autoSpaceDN/>
      <w:adjustRightInd/>
      <w:spacing w:after="120" w:line="480" w:lineRule="auto"/>
      <w:textAlignment w:val="auto"/>
    </w:pPr>
    <w:rPr>
      <w:lang w:eastAsia="tr-TR"/>
    </w:rPr>
  </w:style>
  <w:style w:type="character" w:customStyle="1" w:styleId="GvdeMetni2Char">
    <w:name w:val="Gövde Metni 2 Char"/>
    <w:basedOn w:val="VarsaylanParagrafYazTipi"/>
    <w:link w:val="GvdeMetni2"/>
    <w:rsid w:val="003237F4"/>
  </w:style>
  <w:style w:type="paragraph" w:styleId="GvdeMetniGirintisi3">
    <w:name w:val="Body Text Indent 3"/>
    <w:basedOn w:val="Normal"/>
    <w:link w:val="GvdeMetniGirintisi3Char"/>
    <w:rsid w:val="003237F4"/>
    <w:pPr>
      <w:overflowPunct/>
      <w:autoSpaceDE/>
      <w:autoSpaceDN/>
      <w:adjustRightInd/>
      <w:spacing w:after="120"/>
      <w:ind w:left="283"/>
      <w:textAlignment w:val="auto"/>
    </w:pPr>
    <w:rPr>
      <w:sz w:val="16"/>
      <w:szCs w:val="16"/>
      <w:lang w:eastAsia="tr-TR"/>
    </w:rPr>
  </w:style>
  <w:style w:type="character" w:customStyle="1" w:styleId="GvdeMetniGirintisi3Char">
    <w:name w:val="Gövde Metni Girintisi 3 Char"/>
    <w:basedOn w:val="VarsaylanParagrafYazTipi"/>
    <w:link w:val="GvdeMetniGirintisi3"/>
    <w:rsid w:val="003237F4"/>
    <w:rPr>
      <w:sz w:val="16"/>
      <w:szCs w:val="16"/>
    </w:rPr>
  </w:style>
  <w:style w:type="paragraph" w:customStyle="1" w:styleId="BodyText21">
    <w:name w:val="Body Text 21"/>
    <w:basedOn w:val="Normal"/>
    <w:rsid w:val="003237F4"/>
    <w:pPr>
      <w:jc w:val="both"/>
    </w:pPr>
  </w:style>
  <w:style w:type="paragraph" w:customStyle="1" w:styleId="NormalArial">
    <w:name w:val="Normal + Arial"/>
    <w:basedOn w:val="Normal"/>
    <w:rsid w:val="003237F4"/>
    <w:pPr>
      <w:widowControl w:val="0"/>
      <w:shd w:val="clear" w:color="auto" w:fill="FFFFFF"/>
      <w:overflowPunct/>
      <w:spacing w:before="120"/>
      <w:ind w:left="10"/>
      <w:jc w:val="both"/>
      <w:textAlignment w:val="auto"/>
    </w:pPr>
    <w:rPr>
      <w:rFonts w:ascii="Arial" w:hAnsi="Arial" w:cs="Arial"/>
      <w:bCs/>
      <w:color w:val="000000"/>
      <w:spacing w:val="-9"/>
      <w:lang w:eastAsia="tr-TR"/>
    </w:rPr>
  </w:style>
  <w:style w:type="paragraph" w:customStyle="1" w:styleId="default0">
    <w:name w:val="default"/>
    <w:basedOn w:val="Normal"/>
    <w:rsid w:val="003237F4"/>
    <w:pPr>
      <w:overflowPunct/>
      <w:adjustRightInd/>
      <w:textAlignment w:val="auto"/>
    </w:pPr>
    <w:rPr>
      <w:rFonts w:eastAsia="Calibri"/>
      <w:color w:val="000000"/>
      <w:sz w:val="24"/>
      <w:szCs w:val="24"/>
      <w:lang w:eastAsia="tr-TR"/>
    </w:rPr>
  </w:style>
  <w:style w:type="character" w:styleId="AklamaBavurusu">
    <w:name w:val="annotation reference"/>
    <w:basedOn w:val="VarsaylanParagrafYazTipi"/>
    <w:rsid w:val="003237F4"/>
    <w:rPr>
      <w:sz w:val="16"/>
      <w:szCs w:val="16"/>
    </w:rPr>
  </w:style>
  <w:style w:type="paragraph" w:styleId="AklamaMetni">
    <w:name w:val="annotation text"/>
    <w:basedOn w:val="Normal"/>
    <w:link w:val="AklamaMetniChar"/>
    <w:rsid w:val="003237F4"/>
    <w:pPr>
      <w:overflowPunct/>
      <w:autoSpaceDE/>
      <w:autoSpaceDN/>
      <w:adjustRightInd/>
      <w:textAlignment w:val="auto"/>
    </w:pPr>
    <w:rPr>
      <w:lang w:eastAsia="tr-TR"/>
    </w:rPr>
  </w:style>
  <w:style w:type="character" w:customStyle="1" w:styleId="AklamaMetniChar">
    <w:name w:val="Açıklama Metni Char"/>
    <w:basedOn w:val="VarsaylanParagrafYazTipi"/>
    <w:link w:val="AklamaMetni"/>
    <w:rsid w:val="003237F4"/>
  </w:style>
  <w:style w:type="paragraph" w:styleId="AklamaKonusu">
    <w:name w:val="annotation subject"/>
    <w:basedOn w:val="AklamaMetni"/>
    <w:next w:val="AklamaMetni"/>
    <w:link w:val="AklamaKonusuChar"/>
    <w:rsid w:val="003237F4"/>
    <w:rPr>
      <w:b/>
      <w:bCs/>
    </w:rPr>
  </w:style>
  <w:style w:type="character" w:customStyle="1" w:styleId="AklamaKonusuChar">
    <w:name w:val="Açıklama Konusu Char"/>
    <w:basedOn w:val="AklamaMetniChar"/>
    <w:link w:val="AklamaKonusu"/>
    <w:rsid w:val="003237F4"/>
    <w:rPr>
      <w:b/>
      <w:bCs/>
    </w:rPr>
  </w:style>
  <w:style w:type="paragraph" w:styleId="NormalWeb">
    <w:name w:val="Normal (Web)"/>
    <w:basedOn w:val="Normal"/>
    <w:uiPriority w:val="99"/>
    <w:unhideWhenUsed/>
    <w:rsid w:val="003237F4"/>
    <w:pPr>
      <w:overflowPunct/>
      <w:autoSpaceDE/>
      <w:autoSpaceDN/>
      <w:adjustRightInd/>
      <w:spacing w:before="150" w:after="225"/>
      <w:textAlignment w:val="auto"/>
    </w:pPr>
    <w:rPr>
      <w:sz w:val="24"/>
      <w:szCs w:val="24"/>
      <w:lang w:eastAsia="tr-TR"/>
    </w:rPr>
  </w:style>
  <w:style w:type="character" w:styleId="Gl">
    <w:name w:val="Strong"/>
    <w:basedOn w:val="VarsaylanParagrafYazTipi"/>
    <w:uiPriority w:val="22"/>
    <w:qFormat/>
    <w:rsid w:val="00323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9164">
      <w:bodyDiv w:val="1"/>
      <w:marLeft w:val="0"/>
      <w:marRight w:val="0"/>
      <w:marTop w:val="0"/>
      <w:marBottom w:val="0"/>
      <w:divBdr>
        <w:top w:val="none" w:sz="0" w:space="0" w:color="auto"/>
        <w:left w:val="none" w:sz="0" w:space="0" w:color="auto"/>
        <w:bottom w:val="none" w:sz="0" w:space="0" w:color="auto"/>
        <w:right w:val="none" w:sz="0" w:space="0" w:color="auto"/>
      </w:divBdr>
    </w:div>
    <w:div w:id="94332299">
      <w:bodyDiv w:val="1"/>
      <w:marLeft w:val="0"/>
      <w:marRight w:val="0"/>
      <w:marTop w:val="0"/>
      <w:marBottom w:val="0"/>
      <w:divBdr>
        <w:top w:val="none" w:sz="0" w:space="0" w:color="auto"/>
        <w:left w:val="none" w:sz="0" w:space="0" w:color="auto"/>
        <w:bottom w:val="none" w:sz="0" w:space="0" w:color="auto"/>
        <w:right w:val="none" w:sz="0" w:space="0" w:color="auto"/>
      </w:divBdr>
    </w:div>
    <w:div w:id="104884775">
      <w:bodyDiv w:val="1"/>
      <w:marLeft w:val="0"/>
      <w:marRight w:val="0"/>
      <w:marTop w:val="0"/>
      <w:marBottom w:val="0"/>
      <w:divBdr>
        <w:top w:val="none" w:sz="0" w:space="0" w:color="auto"/>
        <w:left w:val="none" w:sz="0" w:space="0" w:color="auto"/>
        <w:bottom w:val="none" w:sz="0" w:space="0" w:color="auto"/>
        <w:right w:val="none" w:sz="0" w:space="0" w:color="auto"/>
      </w:divBdr>
    </w:div>
    <w:div w:id="121771846">
      <w:bodyDiv w:val="1"/>
      <w:marLeft w:val="0"/>
      <w:marRight w:val="0"/>
      <w:marTop w:val="0"/>
      <w:marBottom w:val="0"/>
      <w:divBdr>
        <w:top w:val="none" w:sz="0" w:space="0" w:color="auto"/>
        <w:left w:val="none" w:sz="0" w:space="0" w:color="auto"/>
        <w:bottom w:val="none" w:sz="0" w:space="0" w:color="auto"/>
        <w:right w:val="none" w:sz="0" w:space="0" w:color="auto"/>
      </w:divBdr>
    </w:div>
    <w:div w:id="314263604">
      <w:bodyDiv w:val="1"/>
      <w:marLeft w:val="0"/>
      <w:marRight w:val="0"/>
      <w:marTop w:val="0"/>
      <w:marBottom w:val="0"/>
      <w:divBdr>
        <w:top w:val="none" w:sz="0" w:space="0" w:color="auto"/>
        <w:left w:val="none" w:sz="0" w:space="0" w:color="auto"/>
        <w:bottom w:val="none" w:sz="0" w:space="0" w:color="auto"/>
        <w:right w:val="none" w:sz="0" w:space="0" w:color="auto"/>
      </w:divBdr>
      <w:divsChild>
        <w:div w:id="1244293388">
          <w:marLeft w:val="0"/>
          <w:marRight w:val="0"/>
          <w:marTop w:val="0"/>
          <w:marBottom w:val="0"/>
          <w:divBdr>
            <w:top w:val="none" w:sz="0" w:space="0" w:color="auto"/>
            <w:left w:val="none" w:sz="0" w:space="0" w:color="auto"/>
            <w:bottom w:val="none" w:sz="0" w:space="0" w:color="auto"/>
            <w:right w:val="none" w:sz="0" w:space="0" w:color="auto"/>
          </w:divBdr>
          <w:divsChild>
            <w:div w:id="242840482">
              <w:marLeft w:val="150"/>
              <w:marRight w:val="150"/>
              <w:marTop w:val="150"/>
              <w:marBottom w:val="150"/>
              <w:divBdr>
                <w:top w:val="none" w:sz="0" w:space="0" w:color="auto"/>
                <w:left w:val="none" w:sz="0" w:space="0" w:color="auto"/>
                <w:bottom w:val="none" w:sz="0" w:space="0" w:color="auto"/>
                <w:right w:val="none" w:sz="0" w:space="0" w:color="auto"/>
              </w:divBdr>
              <w:divsChild>
                <w:div w:id="1583442068">
                  <w:marLeft w:val="0"/>
                  <w:marRight w:val="0"/>
                  <w:marTop w:val="0"/>
                  <w:marBottom w:val="0"/>
                  <w:divBdr>
                    <w:top w:val="single" w:sz="6" w:space="0" w:color="999999"/>
                    <w:left w:val="single" w:sz="6" w:space="0" w:color="999999"/>
                    <w:bottom w:val="single" w:sz="6" w:space="0" w:color="999999"/>
                    <w:right w:val="single" w:sz="6" w:space="0" w:color="999999"/>
                  </w:divBdr>
                  <w:divsChild>
                    <w:div w:id="607734088">
                      <w:marLeft w:val="0"/>
                      <w:marRight w:val="0"/>
                      <w:marTop w:val="0"/>
                      <w:marBottom w:val="0"/>
                      <w:divBdr>
                        <w:top w:val="none" w:sz="0" w:space="0" w:color="auto"/>
                        <w:left w:val="none" w:sz="0" w:space="0" w:color="auto"/>
                        <w:bottom w:val="none" w:sz="0" w:space="0" w:color="auto"/>
                        <w:right w:val="none" w:sz="0" w:space="0" w:color="auto"/>
                      </w:divBdr>
                      <w:divsChild>
                        <w:div w:id="1237744753">
                          <w:marLeft w:val="0"/>
                          <w:marRight w:val="0"/>
                          <w:marTop w:val="0"/>
                          <w:marBottom w:val="0"/>
                          <w:divBdr>
                            <w:top w:val="none" w:sz="0" w:space="0" w:color="auto"/>
                            <w:left w:val="none" w:sz="0" w:space="0" w:color="auto"/>
                            <w:bottom w:val="none" w:sz="0" w:space="0" w:color="auto"/>
                            <w:right w:val="none" w:sz="0" w:space="0" w:color="auto"/>
                          </w:divBdr>
                          <w:divsChild>
                            <w:div w:id="856887966">
                              <w:marLeft w:val="0"/>
                              <w:marRight w:val="0"/>
                              <w:marTop w:val="0"/>
                              <w:marBottom w:val="0"/>
                              <w:divBdr>
                                <w:top w:val="none" w:sz="0" w:space="0" w:color="auto"/>
                                <w:left w:val="none" w:sz="0" w:space="0" w:color="auto"/>
                                <w:bottom w:val="none" w:sz="0" w:space="0" w:color="auto"/>
                                <w:right w:val="none" w:sz="0" w:space="0" w:color="auto"/>
                              </w:divBdr>
                              <w:divsChild>
                                <w:div w:id="1586954845">
                                  <w:marLeft w:val="0"/>
                                  <w:marRight w:val="0"/>
                                  <w:marTop w:val="0"/>
                                  <w:marBottom w:val="225"/>
                                  <w:divBdr>
                                    <w:top w:val="single" w:sz="6" w:space="11" w:color="D9D9DD"/>
                                    <w:left w:val="single" w:sz="6" w:space="11" w:color="D9D9DD"/>
                                    <w:bottom w:val="single" w:sz="6" w:space="11" w:color="D9D9DD"/>
                                    <w:right w:val="single" w:sz="6" w:space="11" w:color="D9D9DD"/>
                                  </w:divBdr>
                                  <w:divsChild>
                                    <w:div w:id="570189703">
                                      <w:marLeft w:val="0"/>
                                      <w:marRight w:val="0"/>
                                      <w:marTop w:val="0"/>
                                      <w:marBottom w:val="0"/>
                                      <w:divBdr>
                                        <w:top w:val="none" w:sz="0" w:space="0" w:color="auto"/>
                                        <w:left w:val="none" w:sz="0" w:space="0" w:color="auto"/>
                                        <w:bottom w:val="none" w:sz="0" w:space="0" w:color="auto"/>
                                        <w:right w:val="none" w:sz="0" w:space="0" w:color="auto"/>
                                      </w:divBdr>
                                      <w:divsChild>
                                        <w:div w:id="1756973796">
                                          <w:marLeft w:val="0"/>
                                          <w:marRight w:val="0"/>
                                          <w:marTop w:val="0"/>
                                          <w:marBottom w:val="0"/>
                                          <w:divBdr>
                                            <w:top w:val="none" w:sz="0" w:space="0" w:color="auto"/>
                                            <w:left w:val="none" w:sz="0" w:space="0" w:color="auto"/>
                                            <w:bottom w:val="none" w:sz="0" w:space="0" w:color="auto"/>
                                            <w:right w:val="none" w:sz="0" w:space="0" w:color="auto"/>
                                          </w:divBdr>
                                          <w:divsChild>
                                            <w:div w:id="963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149214">
      <w:bodyDiv w:val="1"/>
      <w:marLeft w:val="0"/>
      <w:marRight w:val="0"/>
      <w:marTop w:val="0"/>
      <w:marBottom w:val="0"/>
      <w:divBdr>
        <w:top w:val="none" w:sz="0" w:space="0" w:color="auto"/>
        <w:left w:val="none" w:sz="0" w:space="0" w:color="auto"/>
        <w:bottom w:val="none" w:sz="0" w:space="0" w:color="auto"/>
        <w:right w:val="none" w:sz="0" w:space="0" w:color="auto"/>
      </w:divBdr>
    </w:div>
    <w:div w:id="536115670">
      <w:bodyDiv w:val="1"/>
      <w:marLeft w:val="0"/>
      <w:marRight w:val="0"/>
      <w:marTop w:val="0"/>
      <w:marBottom w:val="0"/>
      <w:divBdr>
        <w:top w:val="none" w:sz="0" w:space="0" w:color="auto"/>
        <w:left w:val="none" w:sz="0" w:space="0" w:color="auto"/>
        <w:bottom w:val="none" w:sz="0" w:space="0" w:color="auto"/>
        <w:right w:val="none" w:sz="0" w:space="0" w:color="auto"/>
      </w:divBdr>
    </w:div>
    <w:div w:id="608584941">
      <w:bodyDiv w:val="1"/>
      <w:marLeft w:val="0"/>
      <w:marRight w:val="0"/>
      <w:marTop w:val="0"/>
      <w:marBottom w:val="0"/>
      <w:divBdr>
        <w:top w:val="none" w:sz="0" w:space="0" w:color="auto"/>
        <w:left w:val="none" w:sz="0" w:space="0" w:color="auto"/>
        <w:bottom w:val="none" w:sz="0" w:space="0" w:color="auto"/>
        <w:right w:val="none" w:sz="0" w:space="0" w:color="auto"/>
      </w:divBdr>
    </w:div>
    <w:div w:id="660428768">
      <w:bodyDiv w:val="1"/>
      <w:marLeft w:val="0"/>
      <w:marRight w:val="0"/>
      <w:marTop w:val="0"/>
      <w:marBottom w:val="0"/>
      <w:divBdr>
        <w:top w:val="none" w:sz="0" w:space="0" w:color="auto"/>
        <w:left w:val="none" w:sz="0" w:space="0" w:color="auto"/>
        <w:bottom w:val="none" w:sz="0" w:space="0" w:color="auto"/>
        <w:right w:val="none" w:sz="0" w:space="0" w:color="auto"/>
      </w:divBdr>
    </w:div>
    <w:div w:id="744030431">
      <w:bodyDiv w:val="1"/>
      <w:marLeft w:val="0"/>
      <w:marRight w:val="0"/>
      <w:marTop w:val="0"/>
      <w:marBottom w:val="0"/>
      <w:divBdr>
        <w:top w:val="none" w:sz="0" w:space="0" w:color="auto"/>
        <w:left w:val="none" w:sz="0" w:space="0" w:color="auto"/>
        <w:bottom w:val="none" w:sz="0" w:space="0" w:color="auto"/>
        <w:right w:val="none" w:sz="0" w:space="0" w:color="auto"/>
      </w:divBdr>
      <w:divsChild>
        <w:div w:id="870649391">
          <w:marLeft w:val="0"/>
          <w:marRight w:val="0"/>
          <w:marTop w:val="0"/>
          <w:marBottom w:val="0"/>
          <w:divBdr>
            <w:top w:val="none" w:sz="0" w:space="0" w:color="auto"/>
            <w:left w:val="none" w:sz="0" w:space="0" w:color="auto"/>
            <w:bottom w:val="none" w:sz="0" w:space="0" w:color="auto"/>
            <w:right w:val="none" w:sz="0" w:space="0" w:color="auto"/>
          </w:divBdr>
          <w:divsChild>
            <w:div w:id="1934704993">
              <w:marLeft w:val="150"/>
              <w:marRight w:val="150"/>
              <w:marTop w:val="150"/>
              <w:marBottom w:val="150"/>
              <w:divBdr>
                <w:top w:val="none" w:sz="0" w:space="0" w:color="auto"/>
                <w:left w:val="none" w:sz="0" w:space="0" w:color="auto"/>
                <w:bottom w:val="none" w:sz="0" w:space="0" w:color="auto"/>
                <w:right w:val="none" w:sz="0" w:space="0" w:color="auto"/>
              </w:divBdr>
              <w:divsChild>
                <w:div w:id="1235747710">
                  <w:marLeft w:val="0"/>
                  <w:marRight w:val="0"/>
                  <w:marTop w:val="0"/>
                  <w:marBottom w:val="0"/>
                  <w:divBdr>
                    <w:top w:val="single" w:sz="6" w:space="0" w:color="999999"/>
                    <w:left w:val="single" w:sz="6" w:space="0" w:color="999999"/>
                    <w:bottom w:val="single" w:sz="6" w:space="0" w:color="999999"/>
                    <w:right w:val="single" w:sz="6" w:space="0" w:color="999999"/>
                  </w:divBdr>
                  <w:divsChild>
                    <w:div w:id="1703436717">
                      <w:marLeft w:val="0"/>
                      <w:marRight w:val="0"/>
                      <w:marTop w:val="0"/>
                      <w:marBottom w:val="0"/>
                      <w:divBdr>
                        <w:top w:val="none" w:sz="0" w:space="0" w:color="auto"/>
                        <w:left w:val="none" w:sz="0" w:space="0" w:color="auto"/>
                        <w:bottom w:val="none" w:sz="0" w:space="0" w:color="auto"/>
                        <w:right w:val="none" w:sz="0" w:space="0" w:color="auto"/>
                      </w:divBdr>
                      <w:divsChild>
                        <w:div w:id="1458640059">
                          <w:marLeft w:val="0"/>
                          <w:marRight w:val="0"/>
                          <w:marTop w:val="0"/>
                          <w:marBottom w:val="0"/>
                          <w:divBdr>
                            <w:top w:val="none" w:sz="0" w:space="0" w:color="auto"/>
                            <w:left w:val="none" w:sz="0" w:space="0" w:color="auto"/>
                            <w:bottom w:val="none" w:sz="0" w:space="0" w:color="auto"/>
                            <w:right w:val="none" w:sz="0" w:space="0" w:color="auto"/>
                          </w:divBdr>
                          <w:divsChild>
                            <w:div w:id="306975367">
                              <w:marLeft w:val="0"/>
                              <w:marRight w:val="0"/>
                              <w:marTop w:val="0"/>
                              <w:marBottom w:val="0"/>
                              <w:divBdr>
                                <w:top w:val="none" w:sz="0" w:space="0" w:color="auto"/>
                                <w:left w:val="none" w:sz="0" w:space="0" w:color="auto"/>
                                <w:bottom w:val="none" w:sz="0" w:space="0" w:color="auto"/>
                                <w:right w:val="none" w:sz="0" w:space="0" w:color="auto"/>
                              </w:divBdr>
                              <w:divsChild>
                                <w:div w:id="93940240">
                                  <w:marLeft w:val="0"/>
                                  <w:marRight w:val="0"/>
                                  <w:marTop w:val="0"/>
                                  <w:marBottom w:val="225"/>
                                  <w:divBdr>
                                    <w:top w:val="single" w:sz="6" w:space="11" w:color="D9D9DD"/>
                                    <w:left w:val="single" w:sz="6" w:space="11" w:color="D9D9DD"/>
                                    <w:bottom w:val="single" w:sz="6" w:space="11" w:color="D9D9DD"/>
                                    <w:right w:val="single" w:sz="6" w:space="11" w:color="D9D9DD"/>
                                  </w:divBdr>
                                  <w:divsChild>
                                    <w:div w:id="1421097304">
                                      <w:marLeft w:val="0"/>
                                      <w:marRight w:val="0"/>
                                      <w:marTop w:val="0"/>
                                      <w:marBottom w:val="0"/>
                                      <w:divBdr>
                                        <w:top w:val="none" w:sz="0" w:space="0" w:color="auto"/>
                                        <w:left w:val="none" w:sz="0" w:space="0" w:color="auto"/>
                                        <w:bottom w:val="none" w:sz="0" w:space="0" w:color="auto"/>
                                        <w:right w:val="none" w:sz="0" w:space="0" w:color="auto"/>
                                      </w:divBdr>
                                      <w:divsChild>
                                        <w:div w:id="1074812432">
                                          <w:marLeft w:val="0"/>
                                          <w:marRight w:val="0"/>
                                          <w:marTop w:val="0"/>
                                          <w:marBottom w:val="0"/>
                                          <w:divBdr>
                                            <w:top w:val="none" w:sz="0" w:space="0" w:color="auto"/>
                                            <w:left w:val="none" w:sz="0" w:space="0" w:color="auto"/>
                                            <w:bottom w:val="none" w:sz="0" w:space="0" w:color="auto"/>
                                            <w:right w:val="none" w:sz="0" w:space="0" w:color="auto"/>
                                          </w:divBdr>
                                          <w:divsChild>
                                            <w:div w:id="20235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074403">
      <w:bodyDiv w:val="1"/>
      <w:marLeft w:val="0"/>
      <w:marRight w:val="0"/>
      <w:marTop w:val="0"/>
      <w:marBottom w:val="0"/>
      <w:divBdr>
        <w:top w:val="none" w:sz="0" w:space="0" w:color="auto"/>
        <w:left w:val="none" w:sz="0" w:space="0" w:color="auto"/>
        <w:bottom w:val="none" w:sz="0" w:space="0" w:color="auto"/>
        <w:right w:val="none" w:sz="0" w:space="0" w:color="auto"/>
      </w:divBdr>
    </w:div>
    <w:div w:id="1129709952">
      <w:bodyDiv w:val="1"/>
      <w:marLeft w:val="0"/>
      <w:marRight w:val="0"/>
      <w:marTop w:val="0"/>
      <w:marBottom w:val="0"/>
      <w:divBdr>
        <w:top w:val="none" w:sz="0" w:space="0" w:color="auto"/>
        <w:left w:val="none" w:sz="0" w:space="0" w:color="auto"/>
        <w:bottom w:val="none" w:sz="0" w:space="0" w:color="auto"/>
        <w:right w:val="none" w:sz="0" w:space="0" w:color="auto"/>
      </w:divBdr>
    </w:div>
    <w:div w:id="1201090054">
      <w:bodyDiv w:val="1"/>
      <w:marLeft w:val="0"/>
      <w:marRight w:val="0"/>
      <w:marTop w:val="0"/>
      <w:marBottom w:val="0"/>
      <w:divBdr>
        <w:top w:val="none" w:sz="0" w:space="0" w:color="auto"/>
        <w:left w:val="none" w:sz="0" w:space="0" w:color="auto"/>
        <w:bottom w:val="none" w:sz="0" w:space="0" w:color="auto"/>
        <w:right w:val="none" w:sz="0" w:space="0" w:color="auto"/>
      </w:divBdr>
    </w:div>
    <w:div w:id="1206872051">
      <w:bodyDiv w:val="1"/>
      <w:marLeft w:val="0"/>
      <w:marRight w:val="0"/>
      <w:marTop w:val="0"/>
      <w:marBottom w:val="0"/>
      <w:divBdr>
        <w:top w:val="none" w:sz="0" w:space="0" w:color="auto"/>
        <w:left w:val="none" w:sz="0" w:space="0" w:color="auto"/>
        <w:bottom w:val="none" w:sz="0" w:space="0" w:color="auto"/>
        <w:right w:val="none" w:sz="0" w:space="0" w:color="auto"/>
      </w:divBdr>
    </w:div>
    <w:div w:id="1260065787">
      <w:bodyDiv w:val="1"/>
      <w:marLeft w:val="0"/>
      <w:marRight w:val="0"/>
      <w:marTop w:val="0"/>
      <w:marBottom w:val="0"/>
      <w:divBdr>
        <w:top w:val="none" w:sz="0" w:space="0" w:color="auto"/>
        <w:left w:val="none" w:sz="0" w:space="0" w:color="auto"/>
        <w:bottom w:val="none" w:sz="0" w:space="0" w:color="auto"/>
        <w:right w:val="none" w:sz="0" w:space="0" w:color="auto"/>
      </w:divBdr>
    </w:div>
    <w:div w:id="1416319982">
      <w:bodyDiv w:val="1"/>
      <w:marLeft w:val="0"/>
      <w:marRight w:val="0"/>
      <w:marTop w:val="0"/>
      <w:marBottom w:val="0"/>
      <w:divBdr>
        <w:top w:val="none" w:sz="0" w:space="0" w:color="auto"/>
        <w:left w:val="none" w:sz="0" w:space="0" w:color="auto"/>
        <w:bottom w:val="none" w:sz="0" w:space="0" w:color="auto"/>
        <w:right w:val="none" w:sz="0" w:space="0" w:color="auto"/>
      </w:divBdr>
    </w:div>
    <w:div w:id="1542740820">
      <w:bodyDiv w:val="1"/>
      <w:marLeft w:val="0"/>
      <w:marRight w:val="0"/>
      <w:marTop w:val="0"/>
      <w:marBottom w:val="0"/>
      <w:divBdr>
        <w:top w:val="none" w:sz="0" w:space="0" w:color="auto"/>
        <w:left w:val="none" w:sz="0" w:space="0" w:color="auto"/>
        <w:bottom w:val="none" w:sz="0" w:space="0" w:color="auto"/>
        <w:right w:val="none" w:sz="0" w:space="0" w:color="auto"/>
      </w:divBdr>
    </w:div>
    <w:div w:id="1665625913">
      <w:bodyDiv w:val="1"/>
      <w:marLeft w:val="0"/>
      <w:marRight w:val="0"/>
      <w:marTop w:val="0"/>
      <w:marBottom w:val="0"/>
      <w:divBdr>
        <w:top w:val="none" w:sz="0" w:space="0" w:color="auto"/>
        <w:left w:val="none" w:sz="0" w:space="0" w:color="auto"/>
        <w:bottom w:val="none" w:sz="0" w:space="0" w:color="auto"/>
        <w:right w:val="none" w:sz="0" w:space="0" w:color="auto"/>
      </w:divBdr>
    </w:div>
    <w:div w:id="1742632549">
      <w:bodyDiv w:val="1"/>
      <w:marLeft w:val="0"/>
      <w:marRight w:val="0"/>
      <w:marTop w:val="0"/>
      <w:marBottom w:val="0"/>
      <w:divBdr>
        <w:top w:val="none" w:sz="0" w:space="0" w:color="auto"/>
        <w:left w:val="none" w:sz="0" w:space="0" w:color="auto"/>
        <w:bottom w:val="none" w:sz="0" w:space="0" w:color="auto"/>
        <w:right w:val="none" w:sz="0" w:space="0" w:color="auto"/>
      </w:divBdr>
      <w:divsChild>
        <w:div w:id="2006276368">
          <w:marLeft w:val="0"/>
          <w:marRight w:val="0"/>
          <w:marTop w:val="0"/>
          <w:marBottom w:val="0"/>
          <w:divBdr>
            <w:top w:val="none" w:sz="0" w:space="0" w:color="auto"/>
            <w:left w:val="none" w:sz="0" w:space="0" w:color="auto"/>
            <w:bottom w:val="none" w:sz="0" w:space="0" w:color="auto"/>
            <w:right w:val="none" w:sz="0" w:space="0" w:color="auto"/>
          </w:divBdr>
          <w:divsChild>
            <w:div w:id="300548276">
              <w:marLeft w:val="150"/>
              <w:marRight w:val="150"/>
              <w:marTop w:val="150"/>
              <w:marBottom w:val="150"/>
              <w:divBdr>
                <w:top w:val="none" w:sz="0" w:space="0" w:color="auto"/>
                <w:left w:val="none" w:sz="0" w:space="0" w:color="auto"/>
                <w:bottom w:val="none" w:sz="0" w:space="0" w:color="auto"/>
                <w:right w:val="none" w:sz="0" w:space="0" w:color="auto"/>
              </w:divBdr>
              <w:divsChild>
                <w:div w:id="710880653">
                  <w:marLeft w:val="0"/>
                  <w:marRight w:val="0"/>
                  <w:marTop w:val="0"/>
                  <w:marBottom w:val="0"/>
                  <w:divBdr>
                    <w:top w:val="single" w:sz="6" w:space="0" w:color="999999"/>
                    <w:left w:val="single" w:sz="6" w:space="0" w:color="999999"/>
                    <w:bottom w:val="single" w:sz="6" w:space="0" w:color="999999"/>
                    <w:right w:val="single" w:sz="6" w:space="0" w:color="999999"/>
                  </w:divBdr>
                  <w:divsChild>
                    <w:div w:id="391849961">
                      <w:marLeft w:val="0"/>
                      <w:marRight w:val="0"/>
                      <w:marTop w:val="0"/>
                      <w:marBottom w:val="0"/>
                      <w:divBdr>
                        <w:top w:val="none" w:sz="0" w:space="0" w:color="auto"/>
                        <w:left w:val="none" w:sz="0" w:space="0" w:color="auto"/>
                        <w:bottom w:val="none" w:sz="0" w:space="0" w:color="auto"/>
                        <w:right w:val="none" w:sz="0" w:space="0" w:color="auto"/>
                      </w:divBdr>
                      <w:divsChild>
                        <w:div w:id="96141463">
                          <w:marLeft w:val="0"/>
                          <w:marRight w:val="0"/>
                          <w:marTop w:val="0"/>
                          <w:marBottom w:val="0"/>
                          <w:divBdr>
                            <w:top w:val="none" w:sz="0" w:space="0" w:color="auto"/>
                            <w:left w:val="none" w:sz="0" w:space="0" w:color="auto"/>
                            <w:bottom w:val="none" w:sz="0" w:space="0" w:color="auto"/>
                            <w:right w:val="none" w:sz="0" w:space="0" w:color="auto"/>
                          </w:divBdr>
                          <w:divsChild>
                            <w:div w:id="1784037350">
                              <w:marLeft w:val="0"/>
                              <w:marRight w:val="0"/>
                              <w:marTop w:val="0"/>
                              <w:marBottom w:val="0"/>
                              <w:divBdr>
                                <w:top w:val="none" w:sz="0" w:space="0" w:color="auto"/>
                                <w:left w:val="none" w:sz="0" w:space="0" w:color="auto"/>
                                <w:bottom w:val="none" w:sz="0" w:space="0" w:color="auto"/>
                                <w:right w:val="none" w:sz="0" w:space="0" w:color="auto"/>
                              </w:divBdr>
                              <w:divsChild>
                                <w:div w:id="1866406009">
                                  <w:marLeft w:val="0"/>
                                  <w:marRight w:val="0"/>
                                  <w:marTop w:val="0"/>
                                  <w:marBottom w:val="225"/>
                                  <w:divBdr>
                                    <w:top w:val="single" w:sz="6" w:space="11" w:color="D9D9DD"/>
                                    <w:left w:val="single" w:sz="6" w:space="11" w:color="D9D9DD"/>
                                    <w:bottom w:val="single" w:sz="6" w:space="11" w:color="D9D9DD"/>
                                    <w:right w:val="single" w:sz="6" w:space="11" w:color="D9D9DD"/>
                                  </w:divBdr>
                                  <w:divsChild>
                                    <w:div w:id="684210233">
                                      <w:marLeft w:val="0"/>
                                      <w:marRight w:val="0"/>
                                      <w:marTop w:val="0"/>
                                      <w:marBottom w:val="0"/>
                                      <w:divBdr>
                                        <w:top w:val="none" w:sz="0" w:space="0" w:color="auto"/>
                                        <w:left w:val="none" w:sz="0" w:space="0" w:color="auto"/>
                                        <w:bottom w:val="none" w:sz="0" w:space="0" w:color="auto"/>
                                        <w:right w:val="none" w:sz="0" w:space="0" w:color="auto"/>
                                      </w:divBdr>
                                      <w:divsChild>
                                        <w:div w:id="562523782">
                                          <w:marLeft w:val="0"/>
                                          <w:marRight w:val="0"/>
                                          <w:marTop w:val="0"/>
                                          <w:marBottom w:val="0"/>
                                          <w:divBdr>
                                            <w:top w:val="none" w:sz="0" w:space="0" w:color="auto"/>
                                            <w:left w:val="none" w:sz="0" w:space="0" w:color="auto"/>
                                            <w:bottom w:val="none" w:sz="0" w:space="0" w:color="auto"/>
                                            <w:right w:val="none" w:sz="0" w:space="0" w:color="auto"/>
                                          </w:divBdr>
                                          <w:divsChild>
                                            <w:div w:id="12677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764986">
      <w:bodyDiv w:val="1"/>
      <w:marLeft w:val="0"/>
      <w:marRight w:val="0"/>
      <w:marTop w:val="0"/>
      <w:marBottom w:val="0"/>
      <w:divBdr>
        <w:top w:val="none" w:sz="0" w:space="0" w:color="auto"/>
        <w:left w:val="none" w:sz="0" w:space="0" w:color="auto"/>
        <w:bottom w:val="none" w:sz="0" w:space="0" w:color="auto"/>
        <w:right w:val="none" w:sz="0" w:space="0" w:color="auto"/>
      </w:divBdr>
    </w:div>
    <w:div w:id="1831019327">
      <w:bodyDiv w:val="1"/>
      <w:marLeft w:val="0"/>
      <w:marRight w:val="0"/>
      <w:marTop w:val="0"/>
      <w:marBottom w:val="0"/>
      <w:divBdr>
        <w:top w:val="none" w:sz="0" w:space="0" w:color="auto"/>
        <w:left w:val="none" w:sz="0" w:space="0" w:color="auto"/>
        <w:bottom w:val="none" w:sz="0" w:space="0" w:color="auto"/>
        <w:right w:val="none" w:sz="0" w:space="0" w:color="auto"/>
      </w:divBdr>
    </w:div>
    <w:div w:id="2019383450">
      <w:bodyDiv w:val="1"/>
      <w:marLeft w:val="0"/>
      <w:marRight w:val="0"/>
      <w:marTop w:val="0"/>
      <w:marBottom w:val="0"/>
      <w:divBdr>
        <w:top w:val="none" w:sz="0" w:space="0" w:color="auto"/>
        <w:left w:val="none" w:sz="0" w:space="0" w:color="auto"/>
        <w:bottom w:val="none" w:sz="0" w:space="0" w:color="auto"/>
        <w:right w:val="none" w:sz="0" w:space="0" w:color="auto"/>
      </w:divBdr>
    </w:div>
    <w:div w:id="2058315058">
      <w:bodyDiv w:val="1"/>
      <w:marLeft w:val="0"/>
      <w:marRight w:val="0"/>
      <w:marTop w:val="0"/>
      <w:marBottom w:val="0"/>
      <w:divBdr>
        <w:top w:val="none" w:sz="0" w:space="0" w:color="auto"/>
        <w:left w:val="none" w:sz="0" w:space="0" w:color="auto"/>
        <w:bottom w:val="none" w:sz="0" w:space="0" w:color="auto"/>
        <w:right w:val="none" w:sz="0" w:space="0" w:color="auto"/>
      </w:divBdr>
    </w:div>
    <w:div w:id="2074618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leasing.co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leasing.com.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easing.com.t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F7-C033-4FD5-B275-D200B859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Pages>
  <Words>2955</Words>
  <Characters>20600</Characters>
  <Application>Microsoft Office Word</Application>
  <DocSecurity>0</DocSecurity>
  <Lines>171</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İŞ GENEL FİNANSAL KİRALAMA A</vt:lpstr>
      <vt:lpstr>İŞ GENEL FİNANSAL KİRALAMA A</vt:lpstr>
    </vt:vector>
  </TitlesOfParts>
  <Company>IS LEASING</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GENEL FİNANSAL KİRALAMA A</dc:title>
  <dc:creator>YILDIZ KOC</dc:creator>
  <cp:lastModifiedBy>Zeynettin Maraş</cp:lastModifiedBy>
  <cp:revision>49</cp:revision>
  <cp:lastPrinted>2019-02-26T14:07:00Z</cp:lastPrinted>
  <dcterms:created xsi:type="dcterms:W3CDTF">2021-02-15T20:52:00Z</dcterms:created>
  <dcterms:modified xsi:type="dcterms:W3CDTF">2026-03-02T09:34:00Z</dcterms:modified>
</cp:coreProperties>
</file>